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bidiVisual/>
        <w:tblW w:w="9018"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8820"/>
        <w:gridCol w:w="170"/>
      </w:tblGrid>
      <w:tr w:rsidR="00765BA7" w:rsidTr="00765BA7">
        <w:tc>
          <w:tcPr>
            <w:tcW w:w="9018" w:type="dxa"/>
            <w:gridSpan w:val="3"/>
            <w:hideMark/>
          </w:tcPr>
          <w:tbl>
            <w:tblPr>
              <w:tblStyle w:val="aa"/>
              <w:bidiVisual/>
              <w:tblW w:w="88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3107"/>
              <w:gridCol w:w="5611"/>
              <w:gridCol w:w="56"/>
            </w:tblGrid>
            <w:tr w:rsidR="00765BA7">
              <w:trPr>
                <w:gridBefore w:val="1"/>
                <w:gridAfter w:val="1"/>
                <w:wBefore w:w="28" w:type="dxa"/>
                <w:wAfter w:w="56" w:type="dxa"/>
              </w:trPr>
              <w:tc>
                <w:tcPr>
                  <w:tcW w:w="8718" w:type="dxa"/>
                  <w:gridSpan w:val="2"/>
                  <w:hideMark/>
                </w:tcPr>
                <w:p w:rsidR="00765BA7" w:rsidRDefault="00765BA7">
                  <w:pPr>
                    <w:spacing w:line="360" w:lineRule="auto"/>
                    <w:jc w:val="both"/>
                    <w:rPr>
                      <w:rFonts w:ascii="FrankRuehl" w:hAnsi="FrankRuehl" w:cs="FrankRuehl"/>
                      <w:b/>
                      <w:bCs/>
                      <w:sz w:val="28"/>
                      <w:szCs w:val="28"/>
                      <w:rtl/>
                    </w:rPr>
                  </w:pPr>
                  <w:bookmarkStart w:id="0" w:name="_GoBack"/>
                  <w:bookmarkEnd w:id="0"/>
                  <w:r>
                    <w:rPr>
                      <w:rFonts w:ascii="FrankRuehl" w:hAnsi="FrankRuehl" w:cs="FrankRuehl"/>
                      <w:b/>
                      <w:bCs/>
                      <w:sz w:val="28"/>
                      <w:szCs w:val="28"/>
                      <w:rtl/>
                    </w:rPr>
                    <w:t>לפני כבוד השופטת הילה גורביץ עובדיה</w:t>
                  </w:r>
                </w:p>
              </w:tc>
            </w:tr>
            <w:tr w:rsidR="00765BA7">
              <w:trPr>
                <w:cantSplit/>
                <w:trHeight w:val="247"/>
              </w:trPr>
              <w:tc>
                <w:tcPr>
                  <w:tcW w:w="3135" w:type="dxa"/>
                  <w:gridSpan w:val="2"/>
                  <w:hideMark/>
                </w:tcPr>
                <w:p w:rsidR="00765BA7" w:rsidRDefault="00765BA7">
                  <w:pPr>
                    <w:rPr>
                      <w:rFonts w:ascii="FrankRuehl" w:hAnsi="FrankRuehl" w:cs="FrankRuehl"/>
                      <w:b/>
                      <w:bCs/>
                      <w:sz w:val="28"/>
                      <w:szCs w:val="28"/>
                      <w:rtl/>
                    </w:rPr>
                  </w:pPr>
                  <w:r>
                    <w:rPr>
                      <w:rFonts w:ascii="FrankRuehl" w:hAnsi="FrankRuehl" w:cs="FrankRuehl"/>
                      <w:b/>
                      <w:bCs/>
                      <w:sz w:val="28"/>
                      <w:szCs w:val="28"/>
                      <w:rtl/>
                    </w:rPr>
                    <w:t>התובע בתמ"ש 66680-09-16 /  הנתבע בתמ"ש 47895-06-18:</w:t>
                  </w:r>
                </w:p>
              </w:tc>
              <w:tc>
                <w:tcPr>
                  <w:tcW w:w="5667" w:type="dxa"/>
                  <w:gridSpan w:val="2"/>
                  <w:hideMark/>
                </w:tcPr>
                <w:p w:rsidR="00765BA7" w:rsidRDefault="00765BA7" w:rsidP="003E4826">
                  <w:pPr>
                    <w:rPr>
                      <w:rFonts w:ascii="FrankRuehl" w:hAnsi="FrankRuehl" w:cs="FrankRuehl"/>
                      <w:b/>
                      <w:bCs/>
                      <w:sz w:val="28"/>
                      <w:szCs w:val="28"/>
                      <w:rtl/>
                    </w:rPr>
                  </w:pPr>
                  <w:r>
                    <w:rPr>
                      <w:rFonts w:ascii="FrankRuehl" w:hAnsi="FrankRuehl" w:cs="FrankRuehl"/>
                      <w:b/>
                      <w:bCs/>
                      <w:sz w:val="28"/>
                      <w:szCs w:val="28"/>
                      <w:rtl/>
                    </w:rPr>
                    <w:br/>
                  </w:r>
                  <w:r w:rsidR="003E4826">
                    <w:rPr>
                      <w:rFonts w:ascii="FrankRuehl" w:hAnsi="FrankRuehl" w:cs="FrankRuehl"/>
                      <w:b/>
                      <w:bCs/>
                      <w:sz w:val="28"/>
                      <w:szCs w:val="28"/>
                      <w:rtl/>
                    </w:rPr>
                    <w:t>א.ר.</w:t>
                  </w:r>
                  <w:r>
                    <w:rPr>
                      <w:rFonts w:ascii="FrankRuehl" w:hAnsi="FrankRuehl" w:cs="FrankRuehl"/>
                      <w:b/>
                      <w:bCs/>
                      <w:sz w:val="28"/>
                      <w:szCs w:val="28"/>
                      <w:rtl/>
                    </w:rPr>
                    <w:t xml:space="preserve"> </w:t>
                  </w:r>
                  <w:r w:rsidR="003E4826">
                    <w:rPr>
                      <w:rFonts w:ascii="FrankRuehl" w:hAnsi="FrankRuehl" w:cs="FrankRuehl"/>
                      <w:b/>
                      <w:bCs/>
                      <w:sz w:val="28"/>
                      <w:szCs w:val="28"/>
                      <w:rtl/>
                    </w:rPr>
                    <w:t>ר'</w:t>
                  </w:r>
                  <w:r>
                    <w:rPr>
                      <w:rFonts w:ascii="FrankRuehl" w:hAnsi="FrankRuehl" w:cs="FrankRuehl"/>
                      <w:b/>
                      <w:bCs/>
                      <w:sz w:val="28"/>
                      <w:szCs w:val="28"/>
                      <w:rtl/>
                    </w:rPr>
                    <w:t xml:space="preserve"> ת"ז </w:t>
                  </w:r>
                  <w:r w:rsidR="003E4826">
                    <w:rPr>
                      <w:rFonts w:ascii="FrankRuehl" w:hAnsi="FrankRuehl" w:cs="FrankRuehl" w:hint="cs"/>
                      <w:b/>
                      <w:bCs/>
                      <w:sz w:val="28"/>
                      <w:szCs w:val="28"/>
                      <w:rtl/>
                    </w:rPr>
                    <w:t>--------</w:t>
                  </w:r>
                </w:p>
                <w:p w:rsidR="00765BA7" w:rsidRDefault="00765BA7">
                  <w:pPr>
                    <w:rPr>
                      <w:rFonts w:ascii="FrankRuehl" w:hAnsi="FrankRuehl" w:cs="FrankRuehl"/>
                      <w:b/>
                      <w:bCs/>
                      <w:sz w:val="28"/>
                      <w:szCs w:val="28"/>
                      <w:rtl/>
                    </w:rPr>
                  </w:pPr>
                  <w:r>
                    <w:rPr>
                      <w:rFonts w:ascii="FrankRuehl" w:hAnsi="FrankRuehl" w:cs="FrankRuehl"/>
                      <w:b/>
                      <w:bCs/>
                      <w:sz w:val="28"/>
                      <w:szCs w:val="28"/>
                      <w:rtl/>
                    </w:rPr>
                    <w:t>ע"י ב"כ עוה"ד אלכס ג'ריס</w:t>
                  </w:r>
                </w:p>
              </w:tc>
            </w:tr>
            <w:tr w:rsidR="00765BA7">
              <w:tc>
                <w:tcPr>
                  <w:tcW w:w="8802" w:type="dxa"/>
                  <w:gridSpan w:val="4"/>
                  <w:vAlign w:val="center"/>
                </w:tcPr>
                <w:p w:rsidR="00765BA7" w:rsidRDefault="00765BA7">
                  <w:pPr>
                    <w:rPr>
                      <w:rFonts w:ascii="FrankRuehl" w:hAnsi="FrankRuehl" w:cs="FrankRuehl"/>
                      <w:b/>
                      <w:bCs/>
                      <w:sz w:val="28"/>
                      <w:szCs w:val="28"/>
                      <w:rtl/>
                    </w:rPr>
                  </w:pPr>
                </w:p>
                <w:p w:rsidR="00765BA7" w:rsidRDefault="00765BA7">
                  <w:pPr>
                    <w:jc w:val="center"/>
                    <w:rPr>
                      <w:rFonts w:ascii="FrankRuehl" w:hAnsi="FrankRuehl" w:cs="FrankRuehl"/>
                      <w:b/>
                      <w:bCs/>
                      <w:sz w:val="28"/>
                      <w:szCs w:val="28"/>
                      <w:rtl/>
                    </w:rPr>
                  </w:pPr>
                  <w:r>
                    <w:rPr>
                      <w:rFonts w:ascii="FrankRuehl" w:hAnsi="FrankRuehl" w:cs="FrankRuehl"/>
                      <w:b/>
                      <w:bCs/>
                      <w:sz w:val="28"/>
                      <w:szCs w:val="28"/>
                      <w:rtl/>
                    </w:rPr>
                    <w:t>נגד</w:t>
                  </w:r>
                </w:p>
                <w:p w:rsidR="00765BA7" w:rsidRDefault="00765BA7">
                  <w:pPr>
                    <w:rPr>
                      <w:rFonts w:ascii="FrankRuehl" w:hAnsi="FrankRuehl" w:cs="FrankRuehl"/>
                      <w:b/>
                      <w:bCs/>
                      <w:sz w:val="28"/>
                      <w:szCs w:val="28"/>
                      <w:rtl/>
                    </w:rPr>
                  </w:pPr>
                </w:p>
              </w:tc>
            </w:tr>
            <w:tr w:rsidR="00765BA7">
              <w:trPr>
                <w:trHeight w:val="80"/>
              </w:trPr>
              <w:tc>
                <w:tcPr>
                  <w:tcW w:w="3135" w:type="dxa"/>
                  <w:gridSpan w:val="2"/>
                </w:tcPr>
                <w:p w:rsidR="00765BA7" w:rsidRDefault="00765BA7">
                  <w:pPr>
                    <w:rPr>
                      <w:rFonts w:ascii="FrankRuehl" w:hAnsi="FrankRuehl" w:cs="FrankRuehl"/>
                      <w:b/>
                      <w:bCs/>
                      <w:sz w:val="28"/>
                      <w:szCs w:val="28"/>
                      <w:rtl/>
                    </w:rPr>
                  </w:pPr>
                  <w:r>
                    <w:rPr>
                      <w:rFonts w:ascii="FrankRuehl" w:hAnsi="FrankRuehl" w:cs="FrankRuehl"/>
                      <w:b/>
                      <w:bCs/>
                      <w:sz w:val="28"/>
                      <w:szCs w:val="28"/>
                      <w:rtl/>
                    </w:rPr>
                    <w:t>הנתבע בתמ"ש 6680-06-16:</w:t>
                  </w:r>
                </w:p>
                <w:p w:rsidR="00765BA7" w:rsidRDefault="00765BA7">
                  <w:pPr>
                    <w:rPr>
                      <w:rFonts w:ascii="FrankRuehl" w:hAnsi="FrankRuehl" w:cs="FrankRuehl"/>
                      <w:b/>
                      <w:bCs/>
                      <w:sz w:val="28"/>
                      <w:szCs w:val="28"/>
                      <w:rtl/>
                    </w:rPr>
                  </w:pPr>
                </w:p>
                <w:p w:rsidR="00765BA7" w:rsidRDefault="00765BA7">
                  <w:pPr>
                    <w:rPr>
                      <w:rFonts w:ascii="FrankRuehl" w:hAnsi="FrankRuehl" w:cs="FrankRuehl"/>
                      <w:b/>
                      <w:bCs/>
                      <w:sz w:val="28"/>
                      <w:szCs w:val="28"/>
                      <w:rtl/>
                    </w:rPr>
                  </w:pPr>
                </w:p>
                <w:p w:rsidR="00765BA7" w:rsidRDefault="00765BA7">
                  <w:pPr>
                    <w:rPr>
                      <w:rFonts w:ascii="FrankRuehl" w:hAnsi="FrankRuehl" w:cs="FrankRuehl"/>
                      <w:b/>
                      <w:bCs/>
                      <w:sz w:val="28"/>
                      <w:szCs w:val="28"/>
                      <w:rtl/>
                    </w:rPr>
                  </w:pPr>
                  <w:r>
                    <w:rPr>
                      <w:rFonts w:ascii="FrankRuehl" w:hAnsi="FrankRuehl" w:cs="FrankRuehl"/>
                      <w:b/>
                      <w:bCs/>
                      <w:sz w:val="28"/>
                      <w:szCs w:val="28"/>
                      <w:rtl/>
                    </w:rPr>
                    <w:t>הנתבע בתמ"ש 66680-09-16 / התובע בתמ"ש 47895-06-18:</w:t>
                  </w:r>
                </w:p>
              </w:tc>
              <w:tc>
                <w:tcPr>
                  <w:tcW w:w="5667" w:type="dxa"/>
                  <w:gridSpan w:val="2"/>
                </w:tcPr>
                <w:p w:rsidR="00765BA7" w:rsidRDefault="00765BA7" w:rsidP="003E4826">
                  <w:pPr>
                    <w:rPr>
                      <w:rFonts w:ascii="FrankRuehl" w:hAnsi="FrankRuehl" w:cs="FrankRuehl"/>
                      <w:b/>
                      <w:bCs/>
                      <w:sz w:val="28"/>
                      <w:szCs w:val="28"/>
                      <w:rtl/>
                    </w:rPr>
                  </w:pPr>
                  <w:r>
                    <w:rPr>
                      <w:rFonts w:ascii="FrankRuehl" w:hAnsi="FrankRuehl" w:cs="FrankRuehl"/>
                      <w:b/>
                      <w:bCs/>
                      <w:sz w:val="28"/>
                      <w:szCs w:val="28"/>
                      <w:rtl/>
                    </w:rPr>
                    <w:t xml:space="preserve">1. </w:t>
                  </w:r>
                  <w:r w:rsidR="003E4826">
                    <w:rPr>
                      <w:rFonts w:ascii="FrankRuehl" w:hAnsi="FrankRuehl" w:cs="FrankRuehl" w:hint="cs"/>
                      <w:b/>
                      <w:bCs/>
                      <w:sz w:val="28"/>
                      <w:szCs w:val="28"/>
                      <w:rtl/>
                    </w:rPr>
                    <w:t>א.ר.2.</w:t>
                  </w:r>
                  <w:r>
                    <w:rPr>
                      <w:rFonts w:ascii="FrankRuehl" w:hAnsi="FrankRuehl" w:cs="FrankRuehl"/>
                      <w:b/>
                      <w:bCs/>
                      <w:sz w:val="28"/>
                      <w:szCs w:val="28"/>
                      <w:rtl/>
                    </w:rPr>
                    <w:t xml:space="preserve"> ת"ז </w:t>
                  </w:r>
                  <w:r w:rsidR="003E4826">
                    <w:rPr>
                      <w:rFonts w:ascii="FrankRuehl" w:hAnsi="FrankRuehl" w:cs="FrankRuehl" w:hint="cs"/>
                      <w:b/>
                      <w:bCs/>
                      <w:sz w:val="28"/>
                      <w:szCs w:val="28"/>
                      <w:rtl/>
                    </w:rPr>
                    <w:t>--------</w:t>
                  </w:r>
                  <w:r>
                    <w:rPr>
                      <w:rFonts w:ascii="FrankRuehl" w:hAnsi="FrankRuehl" w:cs="FrankRuehl"/>
                      <w:b/>
                      <w:bCs/>
                      <w:sz w:val="28"/>
                      <w:szCs w:val="28"/>
                      <w:rtl/>
                    </w:rPr>
                    <w:br/>
                    <w:t>ע"י ב"כ עוה"ד גיא אטיאס</w:t>
                  </w:r>
                </w:p>
                <w:p w:rsidR="00765BA7" w:rsidRDefault="00765BA7">
                  <w:pPr>
                    <w:rPr>
                      <w:rFonts w:ascii="FrankRuehl" w:hAnsi="FrankRuehl" w:cs="FrankRuehl"/>
                      <w:b/>
                      <w:bCs/>
                      <w:sz w:val="28"/>
                      <w:szCs w:val="28"/>
                      <w:rtl/>
                    </w:rPr>
                  </w:pPr>
                </w:p>
                <w:p w:rsidR="00765BA7" w:rsidRDefault="00765BA7" w:rsidP="003E4826">
                  <w:pPr>
                    <w:rPr>
                      <w:rFonts w:ascii="FrankRuehl" w:hAnsi="FrankRuehl" w:cs="FrankRuehl"/>
                      <w:b/>
                      <w:bCs/>
                      <w:sz w:val="28"/>
                      <w:szCs w:val="28"/>
                      <w:rtl/>
                    </w:rPr>
                  </w:pPr>
                  <w:r>
                    <w:rPr>
                      <w:rFonts w:ascii="FrankRuehl" w:hAnsi="FrankRuehl" w:cs="FrankRuehl"/>
                      <w:b/>
                      <w:bCs/>
                      <w:sz w:val="28"/>
                      <w:szCs w:val="28"/>
                      <w:rtl/>
                    </w:rPr>
                    <w:t xml:space="preserve">2. </w:t>
                  </w:r>
                  <w:r w:rsidR="003E4826">
                    <w:rPr>
                      <w:rFonts w:ascii="FrankRuehl" w:hAnsi="FrankRuehl" w:cs="FrankRuehl" w:hint="cs"/>
                      <w:b/>
                      <w:bCs/>
                      <w:sz w:val="28"/>
                      <w:szCs w:val="28"/>
                      <w:rtl/>
                    </w:rPr>
                    <w:t xml:space="preserve">ס.ר. </w:t>
                  </w:r>
                  <w:r>
                    <w:rPr>
                      <w:rFonts w:ascii="FrankRuehl" w:hAnsi="FrankRuehl" w:cs="FrankRuehl"/>
                      <w:b/>
                      <w:bCs/>
                      <w:sz w:val="28"/>
                      <w:szCs w:val="28"/>
                      <w:rtl/>
                    </w:rPr>
                    <w:t xml:space="preserve">ת"ז </w:t>
                  </w:r>
                  <w:r w:rsidR="003E4826">
                    <w:rPr>
                      <w:rFonts w:ascii="FrankRuehl" w:hAnsi="FrankRuehl" w:cs="FrankRuehl" w:hint="cs"/>
                      <w:b/>
                      <w:bCs/>
                      <w:sz w:val="28"/>
                      <w:szCs w:val="28"/>
                      <w:rtl/>
                    </w:rPr>
                    <w:t>--------</w:t>
                  </w:r>
                  <w:r>
                    <w:rPr>
                      <w:rFonts w:ascii="FrankRuehl" w:hAnsi="FrankRuehl" w:cs="FrankRuehl"/>
                      <w:b/>
                      <w:bCs/>
                      <w:sz w:val="28"/>
                      <w:szCs w:val="28"/>
                      <w:rtl/>
                    </w:rPr>
                    <w:br/>
                    <w:t>ע"י ב"כ עוה"ד שמעון רביב</w:t>
                  </w:r>
                </w:p>
              </w:tc>
            </w:tr>
          </w:tbl>
          <w:p w:rsidR="00765BA7" w:rsidRDefault="00765BA7">
            <w:pPr>
              <w:rPr>
                <w:rFonts w:cs="Times New Roman"/>
                <w:noProof w:val="0"/>
                <w:sz w:val="20"/>
                <w:szCs w:val="20"/>
                <w:rtl/>
              </w:rPr>
            </w:pPr>
          </w:p>
        </w:tc>
      </w:tr>
      <w:tr w:rsidR="00765BA7" w:rsidTr="00765BA7">
        <w:trPr>
          <w:gridBefore w:val="1"/>
          <w:gridAfter w:val="1"/>
          <w:wBefore w:w="28" w:type="dxa"/>
          <w:wAfter w:w="170" w:type="dxa"/>
        </w:trPr>
        <w:tc>
          <w:tcPr>
            <w:tcW w:w="8820" w:type="dxa"/>
          </w:tcPr>
          <w:p w:rsidR="00765BA7" w:rsidRDefault="00765BA7">
            <w:pPr>
              <w:bidi w:val="0"/>
              <w:jc w:val="center"/>
              <w:rPr>
                <w:rFonts w:ascii="FrankRuehl" w:hAnsi="FrankRuehl" w:cs="FrankRuehl"/>
                <w:b/>
                <w:bCs/>
                <w:sz w:val="36"/>
                <w:szCs w:val="36"/>
                <w:u w:val="single"/>
                <w:rtl/>
              </w:rPr>
            </w:pPr>
          </w:p>
          <w:p w:rsidR="00765BA7" w:rsidRDefault="00765BA7">
            <w:pPr>
              <w:bidi w:val="0"/>
              <w:jc w:val="center"/>
              <w:rPr>
                <w:rFonts w:ascii="FrankRuehl" w:hAnsi="FrankRuehl" w:cs="FrankRuehl"/>
                <w:b/>
                <w:bCs/>
                <w:sz w:val="36"/>
                <w:szCs w:val="36"/>
                <w:u w:val="single"/>
              </w:rPr>
            </w:pPr>
            <w:r>
              <w:rPr>
                <w:rFonts w:ascii="FrankRuehl" w:hAnsi="FrankRuehl" w:cs="FrankRuehl"/>
                <w:b/>
                <w:bCs/>
                <w:sz w:val="36"/>
                <w:szCs w:val="36"/>
                <w:u w:val="single"/>
                <w:rtl/>
              </w:rPr>
              <w:t>פסק דין</w:t>
            </w:r>
          </w:p>
          <w:p w:rsidR="00765BA7" w:rsidRDefault="00765BA7">
            <w:pPr>
              <w:bidi w:val="0"/>
              <w:jc w:val="center"/>
              <w:rPr>
                <w:rFonts w:ascii="FrankRuehl" w:hAnsi="FrankRuehl" w:cs="FrankRuehl"/>
                <w:b/>
                <w:bCs/>
                <w:sz w:val="36"/>
                <w:szCs w:val="36"/>
                <w:u w:val="single"/>
                <w:rtl/>
              </w:rPr>
            </w:pPr>
          </w:p>
        </w:tc>
      </w:tr>
    </w:tbl>
    <w:p w:rsidR="00765BA7" w:rsidRDefault="00765BA7" w:rsidP="003E4826">
      <w:pPr>
        <w:spacing w:line="360" w:lineRule="auto"/>
        <w:ind w:left="720" w:hanging="720"/>
        <w:jc w:val="both"/>
        <w:rPr>
          <w:rFonts w:ascii="FrankRuehl" w:hAnsi="FrankRuehl" w:cs="FrankRuehl"/>
          <w:sz w:val="28"/>
          <w:szCs w:val="28"/>
          <w:rtl/>
        </w:rPr>
      </w:pPr>
      <w:r>
        <w:rPr>
          <w:rFonts w:ascii="FrankRuehl" w:hAnsi="FrankRuehl" w:cs="FrankRuehl"/>
          <w:sz w:val="28"/>
          <w:szCs w:val="28"/>
          <w:rtl/>
        </w:rPr>
        <w:t xml:space="preserve">1. </w:t>
      </w:r>
      <w:r>
        <w:rPr>
          <w:rFonts w:ascii="FrankRuehl" w:hAnsi="FrankRuehl" w:cs="FrankRuehl"/>
          <w:sz w:val="28"/>
          <w:szCs w:val="28"/>
          <w:rtl/>
        </w:rPr>
        <w:tab/>
        <w:t xml:space="preserve">התובע בתמ"ש 66680-09-16 והנתבעים בהליך – אחים, חלק מבניהם של הוריהם המנוחים </w:t>
      </w:r>
      <w:r w:rsidR="003E4826">
        <w:rPr>
          <w:rFonts w:ascii="FrankRuehl" w:hAnsi="FrankRuehl" w:cs="FrankRuehl" w:hint="cs"/>
          <w:sz w:val="28"/>
          <w:szCs w:val="28"/>
          <w:rtl/>
        </w:rPr>
        <w:t xml:space="preserve">מ.ר. </w:t>
      </w:r>
      <w:r>
        <w:rPr>
          <w:rFonts w:ascii="FrankRuehl" w:hAnsi="FrankRuehl" w:cs="FrankRuehl"/>
          <w:sz w:val="28"/>
          <w:szCs w:val="28"/>
          <w:rtl/>
        </w:rPr>
        <w:t xml:space="preserve">ז"ל שהלך לעולמו ביום </w:t>
      </w:r>
      <w:r w:rsidR="003E4826">
        <w:rPr>
          <w:rFonts w:ascii="FrankRuehl" w:hAnsi="FrankRuehl" w:cs="FrankRuehl"/>
          <w:sz w:val="28"/>
          <w:szCs w:val="28"/>
        </w:rPr>
        <w:t>xx.xx.2003</w:t>
      </w:r>
      <w:r>
        <w:rPr>
          <w:rFonts w:ascii="FrankRuehl" w:hAnsi="FrankRuehl" w:cs="FrankRuehl"/>
          <w:sz w:val="28"/>
          <w:szCs w:val="28"/>
          <w:rtl/>
        </w:rPr>
        <w:t xml:space="preserve"> ו</w:t>
      </w:r>
      <w:r w:rsidR="003E4826">
        <w:rPr>
          <w:rFonts w:ascii="FrankRuehl" w:hAnsi="FrankRuehl" w:cs="FrankRuehl" w:hint="cs"/>
          <w:sz w:val="28"/>
          <w:szCs w:val="28"/>
          <w:rtl/>
        </w:rPr>
        <w:t>פ.ח.</w:t>
      </w:r>
      <w:r>
        <w:rPr>
          <w:rFonts w:ascii="FrankRuehl" w:hAnsi="FrankRuehl" w:cs="FrankRuehl"/>
          <w:sz w:val="28"/>
          <w:szCs w:val="28"/>
          <w:rtl/>
        </w:rPr>
        <w:t xml:space="preserve"> ז"ל שהלכה לעולמה ביום </w:t>
      </w:r>
      <w:r w:rsidR="003E4826">
        <w:rPr>
          <w:rFonts w:ascii="FrankRuehl" w:hAnsi="FrankRuehl" w:cs="FrankRuehl"/>
          <w:sz w:val="28"/>
          <w:szCs w:val="28"/>
        </w:rPr>
        <w:t>xx.xx.2014</w:t>
      </w:r>
      <w:r>
        <w:rPr>
          <w:rFonts w:ascii="FrankRuehl" w:hAnsi="FrankRuehl" w:cs="FrankRuehl"/>
          <w:sz w:val="28"/>
          <w:szCs w:val="28"/>
          <w:rtl/>
        </w:rPr>
        <w:t xml:space="preserve"> (להלן: "האב" ו-"האֵם" המנוחים, בהתאמה).</w:t>
      </w:r>
    </w:p>
    <w:p w:rsidR="00765BA7" w:rsidRDefault="00765BA7" w:rsidP="00765BA7">
      <w:pPr>
        <w:spacing w:line="360" w:lineRule="auto"/>
        <w:jc w:val="both"/>
        <w:rPr>
          <w:rFonts w:ascii="FrankRuehl" w:hAnsi="FrankRuehl" w:cs="FrankRuehl"/>
          <w:sz w:val="28"/>
          <w:szCs w:val="28"/>
          <w:rtl/>
        </w:rPr>
      </w:pPr>
    </w:p>
    <w:p w:rsidR="00765BA7" w:rsidRDefault="00765BA7" w:rsidP="003E4826">
      <w:pPr>
        <w:spacing w:line="360" w:lineRule="auto"/>
        <w:jc w:val="both"/>
        <w:rPr>
          <w:rFonts w:ascii="FrankRuehl" w:hAnsi="FrankRuehl" w:cs="FrankRuehl"/>
          <w:sz w:val="28"/>
          <w:szCs w:val="28"/>
          <w:rtl/>
        </w:rPr>
      </w:pPr>
      <w:r>
        <w:rPr>
          <w:rFonts w:ascii="FrankRuehl" w:hAnsi="FrankRuehl" w:cs="FrankRuehl"/>
          <w:sz w:val="28"/>
          <w:szCs w:val="28"/>
          <w:rtl/>
        </w:rPr>
        <w:t>2.</w:t>
      </w:r>
      <w:r>
        <w:rPr>
          <w:rFonts w:ascii="FrankRuehl" w:hAnsi="FrankRuehl" w:cs="FrankRuehl"/>
          <w:sz w:val="28"/>
          <w:szCs w:val="28"/>
          <w:rtl/>
        </w:rPr>
        <w:tab/>
        <w:t>האב המנוח הלך לעולמו ביום</w:t>
      </w:r>
      <w:r w:rsidR="003E4826">
        <w:rPr>
          <w:rFonts w:ascii="FrankRuehl" w:hAnsi="FrankRuehl" w:cs="FrankRuehl" w:hint="cs"/>
          <w:sz w:val="28"/>
          <w:szCs w:val="28"/>
          <w:rtl/>
        </w:rPr>
        <w:t xml:space="preserve"> </w:t>
      </w:r>
      <w:r w:rsidR="003E4826">
        <w:rPr>
          <w:rFonts w:ascii="FrankRuehl" w:hAnsi="FrankRuehl" w:cs="FrankRuehl"/>
          <w:sz w:val="28"/>
          <w:szCs w:val="28"/>
        </w:rPr>
        <w:t>xx.xx.2003</w:t>
      </w:r>
      <w:r w:rsidR="003E4826">
        <w:rPr>
          <w:rFonts w:ascii="FrankRuehl" w:hAnsi="FrankRuehl" w:cs="FrankRuehl" w:hint="cs"/>
          <w:sz w:val="28"/>
          <w:szCs w:val="28"/>
          <w:rtl/>
        </w:rPr>
        <w:t>.</w:t>
      </w:r>
    </w:p>
    <w:p w:rsidR="00765BA7" w:rsidRDefault="00765BA7" w:rsidP="00765BA7">
      <w:pPr>
        <w:spacing w:line="360" w:lineRule="auto"/>
        <w:ind w:left="720"/>
        <w:jc w:val="both"/>
        <w:rPr>
          <w:rFonts w:ascii="FrankRuehl" w:hAnsi="FrankRuehl" w:cs="FrankRuehl"/>
          <w:sz w:val="28"/>
          <w:szCs w:val="28"/>
          <w:rtl/>
        </w:rPr>
      </w:pPr>
      <w:r>
        <w:rPr>
          <w:rFonts w:ascii="FrankRuehl" w:hAnsi="FrankRuehl" w:cs="FrankRuehl"/>
          <w:sz w:val="28"/>
          <w:szCs w:val="28"/>
          <w:rtl/>
        </w:rPr>
        <w:t>ביום 22.04.2004 ניתן אחר עִזבון האב המנוח, צו קיום לצוואה בפני רשות מיום 15.08.2002.</w:t>
      </w:r>
    </w:p>
    <w:p w:rsidR="00765BA7" w:rsidRDefault="00765BA7" w:rsidP="00765BA7">
      <w:pPr>
        <w:spacing w:line="360" w:lineRule="auto"/>
        <w:jc w:val="both"/>
        <w:rPr>
          <w:rFonts w:ascii="FrankRuehl" w:hAnsi="FrankRuehl" w:cs="FrankRuehl"/>
          <w:sz w:val="28"/>
          <w:szCs w:val="28"/>
          <w:rtl/>
        </w:rPr>
      </w:pPr>
    </w:p>
    <w:p w:rsidR="00765BA7" w:rsidRDefault="00765BA7" w:rsidP="00765BA7">
      <w:pPr>
        <w:spacing w:line="360" w:lineRule="auto"/>
        <w:ind w:left="720"/>
        <w:jc w:val="both"/>
        <w:rPr>
          <w:rFonts w:ascii="FrankRuehl" w:hAnsi="FrankRuehl" w:cs="FrankRuehl"/>
          <w:sz w:val="28"/>
          <w:szCs w:val="28"/>
          <w:rtl/>
        </w:rPr>
      </w:pPr>
      <w:r>
        <w:rPr>
          <w:rFonts w:ascii="FrankRuehl" w:hAnsi="FrankRuehl" w:cs="FrankRuehl"/>
          <w:sz w:val="28"/>
          <w:szCs w:val="28"/>
          <w:rtl/>
        </w:rPr>
        <w:t>על פי הוראות הצוואה, כספי עִזבון המנוח שמצויים בישראל, הונחלו בחלקים שווים לאֵם המנוחה ולשלושת הבנים. עוד נקבע שם כי לאחר פטירתה של האֵם המנוחה,  יונחלו הכספים לשלושת הבנים בחלקים שווים.</w:t>
      </w:r>
    </w:p>
    <w:p w:rsidR="00765BA7" w:rsidRDefault="00765BA7" w:rsidP="00765BA7">
      <w:pPr>
        <w:spacing w:line="360" w:lineRule="auto"/>
        <w:jc w:val="both"/>
        <w:rPr>
          <w:rFonts w:ascii="FrankRuehl" w:hAnsi="FrankRuehl" w:cs="FrankRuehl"/>
          <w:sz w:val="28"/>
          <w:szCs w:val="28"/>
          <w:rtl/>
        </w:rPr>
      </w:pPr>
    </w:p>
    <w:p w:rsidR="00765BA7" w:rsidRDefault="00765BA7" w:rsidP="00765BA7">
      <w:pPr>
        <w:spacing w:line="360" w:lineRule="auto"/>
        <w:jc w:val="both"/>
        <w:rPr>
          <w:rFonts w:ascii="FrankRuehl" w:hAnsi="FrankRuehl" w:cs="FrankRuehl"/>
          <w:sz w:val="28"/>
          <w:szCs w:val="28"/>
          <w:rtl/>
        </w:rPr>
      </w:pPr>
      <w:r>
        <w:rPr>
          <w:rFonts w:ascii="FrankRuehl" w:hAnsi="FrankRuehl" w:cs="FrankRuehl"/>
          <w:sz w:val="28"/>
          <w:szCs w:val="28"/>
          <w:rtl/>
        </w:rPr>
        <w:t>3.</w:t>
      </w:r>
      <w:r>
        <w:rPr>
          <w:rFonts w:ascii="FrankRuehl" w:hAnsi="FrankRuehl" w:cs="FrankRuehl"/>
          <w:sz w:val="28"/>
          <w:szCs w:val="28"/>
          <w:rtl/>
        </w:rPr>
        <w:tab/>
        <w:t>האֵם המנוחה הלכה לעולמה ביום 12.01.2014.</w:t>
      </w:r>
    </w:p>
    <w:p w:rsidR="00765BA7" w:rsidRDefault="00765BA7" w:rsidP="00765BA7">
      <w:pPr>
        <w:spacing w:line="360" w:lineRule="auto"/>
        <w:jc w:val="both"/>
        <w:rPr>
          <w:rFonts w:ascii="FrankRuehl" w:hAnsi="FrankRuehl" w:cs="FrankRuehl"/>
          <w:sz w:val="28"/>
          <w:szCs w:val="28"/>
          <w:rtl/>
        </w:rPr>
      </w:pPr>
    </w:p>
    <w:p w:rsidR="00765BA7" w:rsidRDefault="00765BA7" w:rsidP="0020501E">
      <w:pPr>
        <w:spacing w:line="360" w:lineRule="auto"/>
        <w:ind w:left="720"/>
        <w:jc w:val="both"/>
        <w:rPr>
          <w:rFonts w:ascii="FrankRuehl" w:hAnsi="FrankRuehl" w:cs="FrankRuehl"/>
          <w:sz w:val="28"/>
          <w:szCs w:val="28"/>
          <w:rtl/>
        </w:rPr>
      </w:pPr>
      <w:r>
        <w:rPr>
          <w:rFonts w:ascii="FrankRuehl" w:hAnsi="FrankRuehl" w:cs="FrankRuehl"/>
          <w:sz w:val="28"/>
          <w:szCs w:val="28"/>
          <w:rtl/>
        </w:rPr>
        <w:t>ביום 09.06.2014 ניתן אחר עִזבון האֵם המנוחה, צו ירושה בבי</w:t>
      </w:r>
      <w:r w:rsidR="0020501E">
        <w:rPr>
          <w:rFonts w:ascii="FrankRuehl" w:hAnsi="FrankRuehl" w:cs="FrankRuehl" w:hint="cs"/>
          <w:sz w:val="28"/>
          <w:szCs w:val="28"/>
          <w:rtl/>
        </w:rPr>
        <w:t xml:space="preserve">ה"ד </w:t>
      </w:r>
      <w:r>
        <w:rPr>
          <w:rFonts w:ascii="FrankRuehl" w:hAnsi="FrankRuehl" w:cs="FrankRuehl"/>
          <w:sz w:val="28"/>
          <w:szCs w:val="28"/>
          <w:rtl/>
        </w:rPr>
        <w:t xml:space="preserve">הפטריארכלי הלטיני בנצרת ולפיו </w:t>
      </w:r>
      <w:r w:rsidR="0020501E">
        <w:rPr>
          <w:rFonts w:ascii="FrankRuehl" w:hAnsi="FrankRuehl" w:cs="FrankRuehl" w:hint="cs"/>
          <w:sz w:val="28"/>
          <w:szCs w:val="28"/>
          <w:rtl/>
        </w:rPr>
        <w:t xml:space="preserve">3 </w:t>
      </w:r>
      <w:r>
        <w:rPr>
          <w:rFonts w:ascii="FrankRuehl" w:hAnsi="FrankRuehl" w:cs="FrankRuehl"/>
          <w:sz w:val="28"/>
          <w:szCs w:val="28"/>
          <w:rtl/>
        </w:rPr>
        <w:t xml:space="preserve">הצדדים יורשים את עִזבונה בחלקים שווים (אח </w:t>
      </w:r>
      <w:r w:rsidR="0020501E">
        <w:rPr>
          <w:rFonts w:ascii="FrankRuehl" w:hAnsi="FrankRuehl" w:cs="FrankRuehl" w:hint="cs"/>
          <w:sz w:val="28"/>
          <w:szCs w:val="28"/>
          <w:rtl/>
        </w:rPr>
        <w:t xml:space="preserve">רביעי </w:t>
      </w:r>
      <w:r>
        <w:rPr>
          <w:rFonts w:ascii="FrankRuehl" w:hAnsi="FrankRuehl" w:cs="FrankRuehl"/>
          <w:sz w:val="28"/>
          <w:szCs w:val="28"/>
          <w:rtl/>
        </w:rPr>
        <w:t>הסתלק</w:t>
      </w:r>
      <w:r w:rsidR="0020501E">
        <w:rPr>
          <w:rFonts w:ascii="FrankRuehl" w:hAnsi="FrankRuehl" w:cs="FrankRuehl" w:hint="cs"/>
          <w:sz w:val="28"/>
          <w:szCs w:val="28"/>
          <w:rtl/>
        </w:rPr>
        <w:t xml:space="preserve"> מהעיזבון</w:t>
      </w:r>
      <w:r>
        <w:rPr>
          <w:rFonts w:ascii="FrankRuehl" w:hAnsi="FrankRuehl" w:cs="FrankRuehl"/>
          <w:sz w:val="28"/>
          <w:szCs w:val="28"/>
          <w:rtl/>
        </w:rPr>
        <w:t>).</w:t>
      </w:r>
    </w:p>
    <w:p w:rsidR="00765BA7" w:rsidRDefault="00765BA7" w:rsidP="00765BA7">
      <w:pPr>
        <w:spacing w:line="360" w:lineRule="auto"/>
        <w:jc w:val="both"/>
        <w:rPr>
          <w:rFonts w:ascii="FrankRuehl" w:hAnsi="FrankRuehl" w:cs="FrankRuehl"/>
          <w:sz w:val="28"/>
          <w:szCs w:val="28"/>
          <w:rtl/>
        </w:rPr>
      </w:pPr>
    </w:p>
    <w:p w:rsidR="0003710B" w:rsidRDefault="0003710B" w:rsidP="00765BA7">
      <w:pPr>
        <w:spacing w:line="360" w:lineRule="auto"/>
        <w:jc w:val="both"/>
        <w:rPr>
          <w:rFonts w:ascii="FrankRuehl" w:hAnsi="FrankRuehl" w:cs="FrankRuehl"/>
          <w:sz w:val="28"/>
          <w:szCs w:val="28"/>
          <w:rtl/>
        </w:rPr>
      </w:pPr>
    </w:p>
    <w:p w:rsidR="00ED0789" w:rsidRDefault="00765BA7" w:rsidP="00606666">
      <w:pPr>
        <w:spacing w:line="360" w:lineRule="auto"/>
        <w:ind w:left="720" w:hanging="720"/>
        <w:jc w:val="both"/>
        <w:rPr>
          <w:rFonts w:ascii="FrankRuehl" w:hAnsi="FrankRuehl" w:cs="FrankRuehl"/>
          <w:sz w:val="28"/>
          <w:szCs w:val="28"/>
          <w:rtl/>
        </w:rPr>
      </w:pPr>
      <w:r>
        <w:rPr>
          <w:rFonts w:ascii="FrankRuehl" w:hAnsi="FrankRuehl" w:cs="FrankRuehl"/>
          <w:sz w:val="28"/>
          <w:szCs w:val="28"/>
          <w:rtl/>
        </w:rPr>
        <w:lastRenderedPageBreak/>
        <w:t>4.</w:t>
      </w:r>
      <w:r>
        <w:rPr>
          <w:rFonts w:ascii="FrankRuehl" w:hAnsi="FrankRuehl" w:cs="FrankRuehl"/>
          <w:sz w:val="28"/>
          <w:szCs w:val="28"/>
          <w:rtl/>
        </w:rPr>
        <w:tab/>
        <w:t xml:space="preserve">בתביעה נטען כי לאחר פטירת האב המנוח, הנתבעים או מי מהם נטלו כספים השייכים לעִזבון האב המנוח מבלי שהתובע קיבל את חלקו בעִזבון, והדבר נודע לו לאחר שהאֵם המנוחה הלכה לעולמה. נטען כי הנתבעים חילקו ביניהם כספים מאחורי גבו של התובע ללא ידיעתו. התובע פירט כי בעִזבון האב המנוח נכללו שני חשבונות בנק: האחד בבנק "לאומי לישראל בע"מ" סניף </w:t>
      </w:r>
      <w:r w:rsidR="00606666">
        <w:rPr>
          <w:rFonts w:ascii="FrankRuehl" w:hAnsi="FrankRuehl" w:cs="FrankRuehl" w:hint="cs"/>
          <w:sz w:val="28"/>
          <w:szCs w:val="28"/>
          <w:rtl/>
        </w:rPr>
        <w:t>--</w:t>
      </w:r>
      <w:r>
        <w:rPr>
          <w:rFonts w:ascii="FrankRuehl" w:hAnsi="FrankRuehl" w:cs="FrankRuehl"/>
          <w:sz w:val="28"/>
          <w:szCs w:val="28"/>
          <w:rtl/>
        </w:rPr>
        <w:t xml:space="preserve"> </w:t>
      </w:r>
      <w:r w:rsidR="00606666">
        <w:rPr>
          <w:rFonts w:ascii="FrankRuehl" w:hAnsi="FrankRuehl" w:cs="FrankRuehl" w:hint="cs"/>
          <w:sz w:val="28"/>
          <w:szCs w:val="28"/>
          <w:rtl/>
        </w:rPr>
        <w:t>--</w:t>
      </w:r>
      <w:r>
        <w:rPr>
          <w:rFonts w:ascii="FrankRuehl" w:hAnsi="FrankRuehl" w:cs="FrankRuehl"/>
          <w:sz w:val="28"/>
          <w:szCs w:val="28"/>
          <w:rtl/>
        </w:rPr>
        <w:t xml:space="preserve">, מס' </w:t>
      </w:r>
      <w:r w:rsidR="00606666">
        <w:rPr>
          <w:rFonts w:ascii="FrankRuehl" w:hAnsi="FrankRuehl" w:cs="FrankRuehl" w:hint="cs"/>
          <w:sz w:val="28"/>
          <w:szCs w:val="28"/>
          <w:rtl/>
        </w:rPr>
        <w:t>--</w:t>
      </w:r>
      <w:r>
        <w:rPr>
          <w:rFonts w:ascii="FrankRuehl" w:hAnsi="FrankRuehl" w:cs="FrankRuehl"/>
          <w:sz w:val="28"/>
          <w:szCs w:val="28"/>
          <w:rtl/>
        </w:rPr>
        <w:t xml:space="preserve">והשני בבנק "ערבי ישראלי בע"מ" סניף </w:t>
      </w:r>
      <w:r w:rsidR="00606666">
        <w:rPr>
          <w:rFonts w:ascii="FrankRuehl" w:hAnsi="FrankRuehl" w:cs="FrankRuehl" w:hint="cs"/>
          <w:sz w:val="28"/>
          <w:szCs w:val="28"/>
          <w:rtl/>
        </w:rPr>
        <w:t>--</w:t>
      </w:r>
      <w:r>
        <w:rPr>
          <w:rFonts w:ascii="FrankRuehl" w:hAnsi="FrankRuehl" w:cs="FrankRuehl"/>
          <w:sz w:val="28"/>
          <w:szCs w:val="28"/>
          <w:rtl/>
        </w:rPr>
        <w:t xml:space="preserve"> מס' </w:t>
      </w:r>
      <w:r w:rsidR="00606666">
        <w:rPr>
          <w:rFonts w:ascii="FrankRuehl" w:hAnsi="FrankRuehl" w:cs="FrankRuehl" w:hint="cs"/>
          <w:sz w:val="28"/>
          <w:szCs w:val="28"/>
          <w:rtl/>
        </w:rPr>
        <w:t>--</w:t>
      </w:r>
      <w:r>
        <w:rPr>
          <w:rFonts w:ascii="FrankRuehl" w:hAnsi="FrankRuehl" w:cs="FrankRuehl"/>
          <w:sz w:val="28"/>
          <w:szCs w:val="28"/>
          <w:rtl/>
        </w:rPr>
        <w:t xml:space="preserve">. נטען כי הנתבעים העבירו שלא כדין כ-4.5 מיליון ₪. </w:t>
      </w:r>
      <w:r w:rsidR="009E7E07">
        <w:rPr>
          <w:rFonts w:ascii="FrankRuehl" w:hAnsi="FrankRuehl" w:cs="FrankRuehl" w:hint="cs"/>
          <w:sz w:val="28"/>
          <w:szCs w:val="28"/>
          <w:rtl/>
        </w:rPr>
        <w:t>ו</w:t>
      </w:r>
      <w:r>
        <w:rPr>
          <w:rFonts w:ascii="FrankRuehl" w:hAnsi="FrankRuehl" w:cs="FrankRuehl"/>
          <w:sz w:val="28"/>
          <w:szCs w:val="28"/>
          <w:rtl/>
        </w:rPr>
        <w:t xml:space="preserve">עשו כן אגב ניצול מצבהּ של האֵם המנוחה, אשר הייתה עקרת בית פשוטה שלא התמצאה בעניינים כספיים וסבלה מבעיות בריאותיות שהגבילו את תפקודהּ. </w:t>
      </w:r>
    </w:p>
    <w:p w:rsidR="00ED0789" w:rsidRDefault="00ED0789" w:rsidP="009E7E07">
      <w:pPr>
        <w:spacing w:line="360" w:lineRule="auto"/>
        <w:ind w:left="720" w:hanging="720"/>
        <w:jc w:val="both"/>
        <w:rPr>
          <w:rFonts w:ascii="FrankRuehl" w:hAnsi="FrankRuehl" w:cs="FrankRuehl"/>
          <w:sz w:val="28"/>
          <w:szCs w:val="28"/>
          <w:rtl/>
        </w:rPr>
      </w:pPr>
    </w:p>
    <w:p w:rsidR="00765BA7" w:rsidRDefault="00765BA7" w:rsidP="00ED0789">
      <w:pPr>
        <w:spacing w:line="360" w:lineRule="auto"/>
        <w:ind w:left="720"/>
        <w:jc w:val="both"/>
        <w:rPr>
          <w:rFonts w:ascii="FrankRuehl" w:hAnsi="FrankRuehl" w:cs="FrankRuehl"/>
          <w:sz w:val="28"/>
          <w:szCs w:val="28"/>
          <w:rtl/>
        </w:rPr>
      </w:pPr>
      <w:r>
        <w:rPr>
          <w:rFonts w:ascii="FrankRuehl" w:hAnsi="FrankRuehl" w:cs="FrankRuehl"/>
          <w:sz w:val="28"/>
          <w:szCs w:val="28"/>
          <w:rtl/>
        </w:rPr>
        <w:t>נטען כי הכספים בחשבונות הבנק מקורם בעִזבון האב המנוח, למעט</w:t>
      </w:r>
      <w:r w:rsidR="00ED0789">
        <w:rPr>
          <w:rFonts w:ascii="FrankRuehl" w:hAnsi="FrankRuehl" w:cs="FrankRuehl" w:hint="cs"/>
          <w:sz w:val="28"/>
          <w:szCs w:val="28"/>
          <w:rtl/>
        </w:rPr>
        <w:t xml:space="preserve"> כספי</w:t>
      </w:r>
      <w:r>
        <w:rPr>
          <w:rFonts w:ascii="FrankRuehl" w:hAnsi="FrankRuehl" w:cs="FrankRuehl"/>
          <w:sz w:val="28"/>
          <w:szCs w:val="28"/>
          <w:rtl/>
        </w:rPr>
        <w:t xml:space="preserve"> גִמלת ביטוח לאומי </w:t>
      </w:r>
      <w:r w:rsidR="00ED0789">
        <w:rPr>
          <w:rFonts w:ascii="FrankRuehl" w:hAnsi="FrankRuehl" w:cs="FrankRuehl" w:hint="cs"/>
          <w:sz w:val="28"/>
          <w:szCs w:val="28"/>
          <w:rtl/>
        </w:rPr>
        <w:t xml:space="preserve">של </w:t>
      </w:r>
      <w:r>
        <w:rPr>
          <w:rFonts w:ascii="FrankRuehl" w:hAnsi="FrankRuehl" w:cs="FrankRuehl"/>
          <w:sz w:val="28"/>
          <w:szCs w:val="28"/>
          <w:rtl/>
        </w:rPr>
        <w:t>האֵם המנוחה. עוד נטען כי נתבע 1, שהיה שותף בחשבונות, צורף לחשבון מטעמי נוחות ועשה שימוש בצירופו לרוקן את החשבונות. בית המשפט התבקש לחייב את הנתבעים לגלות בתצהיר פרטים הנוגעים לחשבונות הבנק וכספים שנכללו בעִזבון המנוח, לרבות העברות שנעשו, אם נעשו – ולשלם לתובע את חלקו בכספי העִזבון לרבות בכספים שהועברו שלא כדין. סכום זה הוערך במועד הגשת התביעה, סך 1.5 מיליון ₪ (השליש).</w:t>
      </w:r>
    </w:p>
    <w:p w:rsidR="00765BA7" w:rsidRDefault="00765BA7" w:rsidP="00765BA7">
      <w:pPr>
        <w:spacing w:line="360" w:lineRule="auto"/>
        <w:jc w:val="both"/>
        <w:rPr>
          <w:rFonts w:ascii="FrankRuehl" w:hAnsi="FrankRuehl" w:cs="FrankRuehl"/>
          <w:sz w:val="28"/>
          <w:szCs w:val="28"/>
          <w:rtl/>
        </w:rPr>
      </w:pPr>
    </w:p>
    <w:p w:rsidR="00ED0789" w:rsidRDefault="00765BA7" w:rsidP="00765BA7">
      <w:pPr>
        <w:spacing w:line="360" w:lineRule="auto"/>
        <w:ind w:left="720" w:hanging="720"/>
        <w:jc w:val="both"/>
        <w:rPr>
          <w:rFonts w:ascii="FrankRuehl" w:hAnsi="FrankRuehl" w:cs="FrankRuehl"/>
          <w:sz w:val="28"/>
          <w:szCs w:val="28"/>
          <w:rtl/>
        </w:rPr>
      </w:pPr>
      <w:r>
        <w:rPr>
          <w:rFonts w:ascii="FrankRuehl" w:hAnsi="FrankRuehl" w:cs="FrankRuehl"/>
          <w:sz w:val="28"/>
          <w:szCs w:val="28"/>
          <w:rtl/>
        </w:rPr>
        <w:t>5.</w:t>
      </w:r>
      <w:r>
        <w:rPr>
          <w:rFonts w:ascii="FrankRuehl" w:hAnsi="FrankRuehl" w:cs="FrankRuehl"/>
          <w:sz w:val="28"/>
          <w:szCs w:val="28"/>
          <w:rtl/>
        </w:rPr>
        <w:tab/>
        <w:t xml:space="preserve">בכתב ההגנה המתוקן מטעם נתבע 1 נטען כי עִזבון המנוח במועד פטירתו כלל רק מחצית מהכספים וזאת מכוח הִלכת שיתוף בין בני זוג, מכוחה האֵם המנוחה הייתה הבעלים של המחצית השנייה. נטען כי משמעות הדבר כי לאֵם המנוחה 5/8 בכספים ולכל אחד מהבנים 1/8. נטען כי האֵם המנוחה הייתה רשאית לעשות ב-5/8 מהכספים המהווים את חלקה, כרצונה, לרבות חלוקתם בין מי מהבנים. עוד נטען כי האֵם המנוחה והבנים מכרו נכס מקרקעין במועד המאוחר לפטירת האב המנוח, וחלקה של האֵם באותה עִסקה, כמיליון ₪, גם בו רשאית הייתה האֵם לעשות כרצונה. נוסף על כך נטען כי ממועד פטירת האב המנוח ועד מועד פטירת המנוחה, קיבל התובע כספים מחשבונות העִזבון והמנוחה ויש לזקפם לחובתו. פורטו העברות שונות שסכומם הכולל 370 אלף דולר. </w:t>
      </w:r>
    </w:p>
    <w:p w:rsidR="00ED0789" w:rsidRDefault="00ED0789" w:rsidP="00765BA7">
      <w:pPr>
        <w:spacing w:line="360" w:lineRule="auto"/>
        <w:ind w:left="720" w:hanging="720"/>
        <w:jc w:val="both"/>
        <w:rPr>
          <w:rFonts w:ascii="FrankRuehl" w:hAnsi="FrankRuehl" w:cs="FrankRuehl"/>
          <w:sz w:val="28"/>
          <w:szCs w:val="28"/>
          <w:rtl/>
        </w:rPr>
      </w:pPr>
    </w:p>
    <w:p w:rsidR="00ED0789" w:rsidRDefault="00765BA7" w:rsidP="00ED0789">
      <w:pPr>
        <w:spacing w:line="360" w:lineRule="auto"/>
        <w:ind w:left="720"/>
        <w:jc w:val="both"/>
        <w:rPr>
          <w:rFonts w:ascii="FrankRuehl" w:hAnsi="FrankRuehl" w:cs="FrankRuehl"/>
          <w:sz w:val="28"/>
          <w:szCs w:val="28"/>
          <w:rtl/>
        </w:rPr>
      </w:pPr>
      <w:r>
        <w:rPr>
          <w:rFonts w:ascii="FrankRuehl" w:hAnsi="FrankRuehl" w:cs="FrankRuehl"/>
          <w:sz w:val="28"/>
          <w:szCs w:val="28"/>
          <w:rtl/>
        </w:rPr>
        <w:t xml:space="preserve">נטען כי חלקו של התובע בתמורת המקרקעין שנמכרו יחד עם חלקו בשיעור 1/8 מעִזבון המנוח, נמוך מהכספים שקיבל מחשבונות המנוח ועל כן יש לדחות תביעתו. </w:t>
      </w:r>
    </w:p>
    <w:p w:rsidR="00ED0789" w:rsidRDefault="00ED0789" w:rsidP="00ED0789">
      <w:pPr>
        <w:spacing w:line="360" w:lineRule="auto"/>
        <w:ind w:left="720"/>
        <w:jc w:val="both"/>
        <w:rPr>
          <w:rFonts w:ascii="FrankRuehl" w:hAnsi="FrankRuehl" w:cs="FrankRuehl"/>
          <w:sz w:val="28"/>
          <w:szCs w:val="28"/>
          <w:rtl/>
        </w:rPr>
      </w:pPr>
    </w:p>
    <w:p w:rsidR="00765BA7" w:rsidRDefault="00765BA7" w:rsidP="0003710B">
      <w:pPr>
        <w:spacing w:line="360" w:lineRule="auto"/>
        <w:ind w:left="720"/>
        <w:jc w:val="both"/>
        <w:rPr>
          <w:rFonts w:ascii="FrankRuehl" w:hAnsi="FrankRuehl" w:cs="FrankRuehl"/>
          <w:sz w:val="28"/>
          <w:szCs w:val="28"/>
          <w:rtl/>
        </w:rPr>
      </w:pPr>
      <w:r>
        <w:rPr>
          <w:rFonts w:ascii="FrankRuehl" w:hAnsi="FrankRuehl" w:cs="FrankRuehl"/>
          <w:sz w:val="28"/>
          <w:szCs w:val="28"/>
          <w:rtl/>
        </w:rPr>
        <w:lastRenderedPageBreak/>
        <w:t xml:space="preserve">עוד נטען כי התובע קיבל מהאב המנוח הלוואה בסך 62,000 דולר שלא הוחזרה, ונתבע 1 זכאי מהתובע לתשלום 1/3 מההלוואה בצירוף הפרשי הצמדה וריבית משנת 1993 ועד מועד התשלום בפועל, ויש לקזז סכום זה מכל סכום בו יחויב, אם יחויב. נטען גם כי ביחס לפעולות שביצעה האֵם המנוחה כמנהלת עִזבון המנוח (צוינה כמי שיש למנותהּ כמנהלת עִזבון בצוואת האב המנוח אך לא ניתן צו מינוי מנהל עִזבון) אין יריבות בין הצדדים. </w:t>
      </w:r>
    </w:p>
    <w:p w:rsidR="00765BA7" w:rsidRDefault="00765BA7" w:rsidP="00765BA7">
      <w:pPr>
        <w:spacing w:line="360" w:lineRule="auto"/>
        <w:jc w:val="both"/>
        <w:rPr>
          <w:rFonts w:ascii="FrankRuehl" w:hAnsi="FrankRuehl" w:cs="FrankRuehl"/>
          <w:sz w:val="28"/>
          <w:szCs w:val="28"/>
          <w:rtl/>
        </w:rPr>
      </w:pPr>
    </w:p>
    <w:p w:rsidR="00765BA7" w:rsidRDefault="00765BA7" w:rsidP="00765BA7">
      <w:pPr>
        <w:spacing w:line="360" w:lineRule="auto"/>
        <w:ind w:left="720" w:hanging="720"/>
        <w:jc w:val="both"/>
        <w:rPr>
          <w:rFonts w:ascii="FrankRuehl" w:hAnsi="FrankRuehl" w:cs="FrankRuehl"/>
          <w:sz w:val="28"/>
          <w:szCs w:val="28"/>
          <w:rtl/>
        </w:rPr>
      </w:pPr>
      <w:r>
        <w:rPr>
          <w:rFonts w:ascii="FrankRuehl" w:hAnsi="FrankRuehl" w:cs="FrankRuehl"/>
          <w:sz w:val="28"/>
          <w:szCs w:val="28"/>
          <w:rtl/>
        </w:rPr>
        <w:t>6.</w:t>
      </w:r>
      <w:r>
        <w:rPr>
          <w:rFonts w:ascii="FrankRuehl" w:hAnsi="FrankRuehl" w:cs="FrankRuehl"/>
          <w:sz w:val="28"/>
          <w:szCs w:val="28"/>
          <w:rtl/>
        </w:rPr>
        <w:tab/>
        <w:t>בכתב הגנה המתוקן מטעם נתבע 2 הוכחשו כל טענות כתב התביעה ונטען כי האֵם המנוחה הייתה זכאית, מכוח הִלכת שיתוף, למחצית מהרכוש שנצבר בעִזבון המנוח מאחר והאֵם המנוחה הייתה בעלת זכויות בנכסים שנצברו על שם המנוח ונרשמו על שמו מטעמי נוחות. בהתאמה נטען כי האֵם המנוחה הייתה רשאית לעשות במחציתה כבשלה. נטען כי נתבע 1 צורף לחשבון האֵם המנוחה מטעמי נוחות ובידו מידע רלוונטי בשל שליטתו בכספי המנוחים. עוד נטען כי נתבע 2 אינו מתנגד לגילוי ועיון במסמכי החשבונות, גם של הצדדים, מאחר והתובע קיבל מהאב המנוח הלוואה, ומאֵם המנוחה קיבל את הסכום שנטען בכתב ההגנה מטעם נתבע 1. נתבע 2 טען כי יש לערוך התחשבנות מדוקדקת על-מנת לבחון את חלוקת כספי העִזבון בחלקים שווים לשלושת הצדדים, ועתר גם הוא לחייב את התובע ב-1/3 מההלוואה שקיבל מהאב המנוח, על דרך קיזוז.</w:t>
      </w:r>
    </w:p>
    <w:p w:rsidR="00765BA7" w:rsidRDefault="00765BA7" w:rsidP="00765BA7">
      <w:pPr>
        <w:spacing w:line="360" w:lineRule="auto"/>
        <w:jc w:val="both"/>
        <w:rPr>
          <w:rFonts w:ascii="FrankRuehl" w:hAnsi="FrankRuehl" w:cs="FrankRuehl"/>
          <w:sz w:val="28"/>
          <w:szCs w:val="28"/>
          <w:rtl/>
        </w:rPr>
      </w:pPr>
    </w:p>
    <w:p w:rsidR="00765BA7" w:rsidRDefault="00765BA7" w:rsidP="00765BA7">
      <w:pPr>
        <w:spacing w:line="360" w:lineRule="auto"/>
        <w:ind w:left="720" w:hanging="720"/>
        <w:jc w:val="both"/>
        <w:rPr>
          <w:rFonts w:ascii="FrankRuehl" w:hAnsi="FrankRuehl" w:cs="FrankRuehl"/>
          <w:sz w:val="28"/>
          <w:szCs w:val="28"/>
          <w:rtl/>
        </w:rPr>
      </w:pPr>
      <w:r>
        <w:rPr>
          <w:rFonts w:ascii="FrankRuehl" w:hAnsi="FrankRuehl" w:cs="FrankRuehl"/>
          <w:sz w:val="28"/>
          <w:szCs w:val="28"/>
          <w:rtl/>
        </w:rPr>
        <w:t>7.</w:t>
      </w:r>
      <w:r>
        <w:rPr>
          <w:rFonts w:ascii="FrankRuehl" w:hAnsi="FrankRuehl" w:cs="FrankRuehl"/>
          <w:sz w:val="28"/>
          <w:szCs w:val="28"/>
          <w:rtl/>
        </w:rPr>
        <w:tab/>
        <w:t>בהחלטתי מיום 19.03.2017 הוריתי על מינוי מומחה מטעם בית משפט על-מנת שיבחן את העברות הכספים מחשבונות המנוחה החל מ-7 שנים שקדמו להגשת התביעה. ביום 03.04.2017 מונה רו"ח דני ניסן. במסגרת חוות דעתו, היה על המומחה לבחון העברות כספים לכל אחד מהצדדים, לפרט סכומם, זהות המעביר / נותן ההוראה ובמידת האפשר, המטרה לשמה הועברו הכספים. לשם עריכת חוות הדעת ניתנו צווי עיון במסמכים.</w:t>
      </w:r>
    </w:p>
    <w:p w:rsidR="00765BA7" w:rsidRDefault="00765BA7" w:rsidP="00765BA7">
      <w:pPr>
        <w:spacing w:line="360" w:lineRule="auto"/>
        <w:jc w:val="both"/>
        <w:rPr>
          <w:rFonts w:ascii="FrankRuehl" w:hAnsi="FrankRuehl" w:cs="FrankRuehl"/>
          <w:sz w:val="28"/>
          <w:szCs w:val="28"/>
          <w:rtl/>
        </w:rPr>
      </w:pPr>
    </w:p>
    <w:p w:rsidR="00765BA7" w:rsidRDefault="00765BA7" w:rsidP="003B1FDB">
      <w:pPr>
        <w:spacing w:line="360" w:lineRule="auto"/>
        <w:ind w:left="720" w:hanging="720"/>
        <w:jc w:val="both"/>
        <w:rPr>
          <w:rFonts w:ascii="FrankRuehl" w:hAnsi="FrankRuehl" w:cs="FrankRuehl"/>
          <w:sz w:val="28"/>
          <w:szCs w:val="28"/>
          <w:rtl/>
        </w:rPr>
      </w:pPr>
      <w:r>
        <w:rPr>
          <w:rFonts w:ascii="FrankRuehl" w:hAnsi="FrankRuehl" w:cs="FrankRuehl"/>
          <w:sz w:val="28"/>
          <w:szCs w:val="28"/>
          <w:rtl/>
        </w:rPr>
        <w:t>8.</w:t>
      </w:r>
      <w:r>
        <w:rPr>
          <w:rFonts w:ascii="FrankRuehl" w:hAnsi="FrankRuehl" w:cs="FrankRuehl"/>
          <w:sz w:val="28"/>
          <w:szCs w:val="28"/>
          <w:rtl/>
        </w:rPr>
        <w:tab/>
      </w:r>
      <w:r w:rsidR="00A24B09">
        <w:rPr>
          <w:rFonts w:ascii="FrankRuehl" w:hAnsi="FrankRuehl" w:cs="FrankRuehl"/>
          <w:sz w:val="28"/>
          <w:szCs w:val="28"/>
          <w:rtl/>
        </w:rPr>
        <w:t>המומחה הגיש חוו"ד נושאת תאריך 22.10.2017.</w:t>
      </w:r>
      <w:r w:rsidR="00A24B09">
        <w:rPr>
          <w:rFonts w:ascii="FrankRuehl" w:hAnsi="FrankRuehl" w:cs="FrankRuehl" w:hint="cs"/>
          <w:sz w:val="28"/>
          <w:szCs w:val="28"/>
          <w:rtl/>
        </w:rPr>
        <w:t xml:space="preserve"> </w:t>
      </w:r>
      <w:r>
        <w:rPr>
          <w:rFonts w:ascii="FrankRuehl" w:hAnsi="FrankRuehl" w:cs="FrankRuehl"/>
          <w:sz w:val="28"/>
          <w:szCs w:val="28"/>
          <w:rtl/>
        </w:rPr>
        <w:t>מאחר ובחוות הדעת היה חסר פירוט, ו</w:t>
      </w:r>
      <w:r w:rsidR="003B1FDB">
        <w:rPr>
          <w:rFonts w:ascii="FrankRuehl" w:hAnsi="FrankRuehl" w:cs="FrankRuehl" w:hint="cs"/>
          <w:sz w:val="28"/>
          <w:szCs w:val="28"/>
          <w:rtl/>
        </w:rPr>
        <w:t>נכתב ב</w:t>
      </w:r>
      <w:r>
        <w:rPr>
          <w:rFonts w:ascii="FrankRuehl" w:hAnsi="FrankRuehl" w:cs="FrankRuehl"/>
          <w:sz w:val="28"/>
          <w:szCs w:val="28"/>
          <w:rtl/>
        </w:rPr>
        <w:t xml:space="preserve">חוות הדעת </w:t>
      </w:r>
      <w:r w:rsidR="003B1FDB">
        <w:rPr>
          <w:rFonts w:ascii="FrankRuehl" w:hAnsi="FrankRuehl" w:cs="FrankRuehl" w:hint="cs"/>
          <w:sz w:val="28"/>
          <w:szCs w:val="28"/>
          <w:rtl/>
        </w:rPr>
        <w:t xml:space="preserve">כי </w:t>
      </w:r>
      <w:r>
        <w:rPr>
          <w:rFonts w:ascii="FrankRuehl" w:hAnsi="FrankRuehl" w:cs="FrankRuehl"/>
          <w:sz w:val="28"/>
          <w:szCs w:val="28"/>
          <w:rtl/>
        </w:rPr>
        <w:t>נערכה על בסיס מסמכים חסרים - ניתנו הוראות להשלמות חוות הדעת וניתנו צווים נוספים המופנים לצדדי ג'. איסוף המסמכים התארך ובית המשפט נאלץ אף להזמין לדיון נציגים מטעם בנק "לאומי" על-מנת לזרז ולקדם קבלת המסמכים.</w:t>
      </w:r>
    </w:p>
    <w:p w:rsidR="00765BA7" w:rsidRDefault="00765BA7" w:rsidP="00765BA7">
      <w:pPr>
        <w:spacing w:line="360" w:lineRule="auto"/>
        <w:jc w:val="both"/>
        <w:rPr>
          <w:rFonts w:ascii="FrankRuehl" w:hAnsi="FrankRuehl" w:cs="FrankRuehl"/>
          <w:sz w:val="28"/>
          <w:szCs w:val="28"/>
          <w:rtl/>
        </w:rPr>
      </w:pPr>
    </w:p>
    <w:p w:rsidR="003B1FDB" w:rsidRDefault="003B1FDB" w:rsidP="00765BA7">
      <w:pPr>
        <w:spacing w:line="360" w:lineRule="auto"/>
        <w:jc w:val="both"/>
        <w:rPr>
          <w:rFonts w:ascii="FrankRuehl" w:hAnsi="FrankRuehl" w:cs="FrankRuehl"/>
          <w:sz w:val="28"/>
          <w:szCs w:val="28"/>
          <w:rtl/>
        </w:rPr>
      </w:pPr>
    </w:p>
    <w:p w:rsidR="00765BA7" w:rsidRDefault="003B1FDB" w:rsidP="00771489">
      <w:pPr>
        <w:spacing w:line="360" w:lineRule="auto"/>
        <w:ind w:left="720" w:hanging="720"/>
        <w:jc w:val="both"/>
        <w:rPr>
          <w:rFonts w:ascii="FrankRuehl" w:hAnsi="FrankRuehl" w:cs="FrankRuehl"/>
          <w:sz w:val="28"/>
          <w:szCs w:val="28"/>
          <w:rtl/>
        </w:rPr>
      </w:pPr>
      <w:r>
        <w:rPr>
          <w:rFonts w:ascii="FrankRuehl" w:hAnsi="FrankRuehl" w:cs="FrankRuehl"/>
          <w:sz w:val="28"/>
          <w:szCs w:val="28"/>
          <w:rtl/>
        </w:rPr>
        <w:lastRenderedPageBreak/>
        <w:t>9.</w:t>
      </w:r>
      <w:r>
        <w:rPr>
          <w:rFonts w:ascii="FrankRuehl" w:hAnsi="FrankRuehl" w:cs="FrankRuehl"/>
          <w:sz w:val="28"/>
          <w:szCs w:val="28"/>
          <w:rtl/>
        </w:rPr>
        <w:tab/>
      </w:r>
      <w:r w:rsidR="00765BA7">
        <w:rPr>
          <w:rFonts w:ascii="FrankRuehl" w:hAnsi="FrankRuehl" w:cs="FrankRuehl"/>
          <w:sz w:val="28"/>
          <w:szCs w:val="28"/>
          <w:rtl/>
        </w:rPr>
        <w:t>בטרם הוגשה חוות הדעת משלימה, הגיש נתבע 2 תביעה מטעמו (תמ"ש 47895-06-18). בכתב התביעה נטען כי בשנים 1993-1996 הלווה האב המנוח לתובע 262,000 דולר. כתב התביעה פרט 11 העברות במועדים שונים. נטען כי הדבר הודע לנתבע 2 לאחרונה ועל פי בדיקה שערך נתבע 2, התובע לא השיב את ההלוואה. נטען כי נתבע 2 זכאי ל-1/3 מסכום ההלוואה בצירוף הפרשי הלוואה וריבית, וסך הכל 87,333 דולר שערכם בשקלים נכון ליום 07.03.1996, שהוא המועד בו הועבר התשלום האחרון של ההלוואה, סך 270,645 ₪. סכום זה נכון למועד הגשת התביעה 864,358 ₪. לכתב התביעה צורף תצהיר שנחזה להיות חתום על-ידי האב המנוח אשר פרט את תשלומי ההלוואה שניתנו, ונערך ביום 28.7.1996.</w:t>
      </w:r>
    </w:p>
    <w:p w:rsidR="00765BA7" w:rsidRDefault="00765BA7" w:rsidP="00765BA7">
      <w:pPr>
        <w:spacing w:line="360" w:lineRule="auto"/>
        <w:jc w:val="both"/>
        <w:rPr>
          <w:rFonts w:ascii="FrankRuehl" w:hAnsi="FrankRuehl" w:cs="FrankRuehl"/>
          <w:sz w:val="28"/>
          <w:szCs w:val="28"/>
          <w:rtl/>
        </w:rPr>
      </w:pPr>
    </w:p>
    <w:p w:rsidR="00765BA7" w:rsidRDefault="00765BA7" w:rsidP="00765BA7">
      <w:pPr>
        <w:spacing w:line="360" w:lineRule="auto"/>
        <w:ind w:left="720"/>
        <w:jc w:val="both"/>
        <w:rPr>
          <w:rFonts w:ascii="FrankRuehl" w:hAnsi="FrankRuehl" w:cs="FrankRuehl"/>
          <w:sz w:val="28"/>
          <w:szCs w:val="28"/>
          <w:rtl/>
        </w:rPr>
      </w:pPr>
      <w:r>
        <w:rPr>
          <w:rFonts w:ascii="FrankRuehl" w:hAnsi="FrankRuehl" w:cs="FrankRuehl"/>
          <w:sz w:val="28"/>
          <w:szCs w:val="28"/>
          <w:rtl/>
        </w:rPr>
        <w:t>התובע הגיש כתב הגנה. בכתב ההגנה נטען כי יש לדחות את התביעה מחמת התיישנות. עוד נטען כי מדובר בתביעה שנועדה לשמש נִסיון נואל למנוע מהתובע לקבל מנתבע 2 כספים וכמשקל נגד לתביעת התובע. נטען כי בכתב ההגנה המקורי שהגיש נתבע 2 יחד עם נתבע 1, בטרם פיצלו את הייצוג, לא הוזכרה ההלוואה ושתיקתו שם מהווה השתק או מניעות. נטען כי התצהיר שצירף נתבע 2 לתביעתו נערך במסגרת הליכי גירושין בין התובע ובין גרושתו ונועד להבטיח כי לגרושתו של התובע לא יהיה חלק בנכסי נדל"ן שנרכשו בעזרת עזרה כספית מהאב המנוח, ואין המדובר בכספי הלוואה שעל התובע להשיבם. נטען כי לראיה, בהסדר פשרה שנחתם בין התובע ובין גרושתו, נכסי הנדל"ן עברו לאב המנוח. נטען כי התצהיר שצורף לכתב התביעה נערך 6 שנים לפני מועד עריכת צוואת האב המנוח, ולאור כך, ובפרט מאחר ובסעיף 3 לצוואה שם ציווה המנוח את רכושו בארה"ב לתובע, הרי שאין כל תוקף או נפקות לתצהיר ואין בסיס לתביעה. נטען כי עובדות אלו ידועות היטב לנתבע 2, ועל כן הטענה לא הועלתה אלא לאחר החלפת ייצוג.</w:t>
      </w:r>
    </w:p>
    <w:p w:rsidR="00765BA7" w:rsidRDefault="00765BA7" w:rsidP="00765BA7">
      <w:pPr>
        <w:spacing w:line="360" w:lineRule="auto"/>
        <w:jc w:val="both"/>
        <w:rPr>
          <w:rFonts w:ascii="FrankRuehl" w:hAnsi="FrankRuehl" w:cs="FrankRuehl"/>
          <w:sz w:val="28"/>
          <w:szCs w:val="28"/>
          <w:rtl/>
        </w:rPr>
      </w:pPr>
    </w:p>
    <w:p w:rsidR="00765BA7" w:rsidRDefault="00765BA7" w:rsidP="00765BA7">
      <w:pPr>
        <w:spacing w:line="360" w:lineRule="auto"/>
        <w:ind w:left="720" w:hanging="720"/>
        <w:jc w:val="both"/>
        <w:rPr>
          <w:rFonts w:ascii="FrankRuehl" w:hAnsi="FrankRuehl" w:cs="FrankRuehl"/>
          <w:sz w:val="28"/>
          <w:szCs w:val="28"/>
          <w:rtl/>
        </w:rPr>
      </w:pPr>
      <w:r>
        <w:rPr>
          <w:rFonts w:ascii="FrankRuehl" w:hAnsi="FrankRuehl" w:cs="FrankRuehl"/>
          <w:sz w:val="28"/>
          <w:szCs w:val="28"/>
          <w:rtl/>
        </w:rPr>
        <w:t>10.</w:t>
      </w:r>
      <w:r>
        <w:rPr>
          <w:rFonts w:ascii="FrankRuehl" w:hAnsi="FrankRuehl" w:cs="FrankRuehl"/>
          <w:sz w:val="28"/>
          <w:szCs w:val="28"/>
          <w:rtl/>
        </w:rPr>
        <w:tab/>
        <w:t xml:space="preserve">לאחר מכן ולאחר השלמות המסמכים, הוגשה חוות דעת משלימה נושאת תאריך 28.04.2019 (צורפה כנספח 11 לתצהיר ת/1). על פי חוות הדעת המעודכנת, סך הכספים שנמשכו מחשבונות הבנקים של ההורים המנוחים בתקופה הרלוונטית הוא 6,134,444 ₪. מתוך סך זה, סך 1,130,349 </w:t>
      </w:r>
      <w:r>
        <w:rPr>
          <w:rFonts w:ascii="FrankRuehl" w:hAnsi="FrankRuehl" w:cs="FrankRuehl"/>
          <w:color w:val="000000" w:themeColor="text1"/>
          <w:sz w:val="28"/>
          <w:szCs w:val="28"/>
          <w:rtl/>
        </w:rPr>
        <w:t xml:space="preserve">הועבר </w:t>
      </w:r>
      <w:r>
        <w:rPr>
          <w:rFonts w:ascii="FrankRuehl" w:hAnsi="FrankRuehl" w:cs="FrankRuehl"/>
          <w:sz w:val="28"/>
          <w:szCs w:val="28"/>
          <w:rtl/>
        </w:rPr>
        <w:t>לתובע (מתוך סכום זה סך 206,271 ₪ הועבר לתובע מאת הנתבעים עצמם), סך 3,979,695 ₪ לנתבע 1, סך 900,000 ₪ לנתבע 2 וסך של 124,800 ₪ הועבר ל-"</w:t>
      </w:r>
      <w:r>
        <w:rPr>
          <w:rFonts w:ascii="FrankRuehl" w:hAnsi="FrankRuehl" w:cs="Miriam"/>
          <w:sz w:val="28"/>
          <w:szCs w:val="23"/>
          <w:rtl/>
        </w:rPr>
        <w:t>שונות</w:t>
      </w:r>
      <w:r>
        <w:rPr>
          <w:rFonts w:ascii="FrankRuehl" w:hAnsi="FrankRuehl" w:cs="FrankRuehl"/>
          <w:sz w:val="28"/>
          <w:szCs w:val="28"/>
          <w:rtl/>
        </w:rPr>
        <w:t>".</w:t>
      </w:r>
    </w:p>
    <w:p w:rsidR="00765BA7" w:rsidRDefault="00765BA7" w:rsidP="00765BA7">
      <w:pPr>
        <w:spacing w:line="360" w:lineRule="auto"/>
        <w:jc w:val="both"/>
        <w:rPr>
          <w:rFonts w:ascii="FrankRuehl" w:hAnsi="FrankRuehl" w:cs="FrankRuehl"/>
          <w:sz w:val="28"/>
          <w:szCs w:val="28"/>
          <w:rtl/>
        </w:rPr>
      </w:pPr>
    </w:p>
    <w:p w:rsidR="00765BA7" w:rsidRDefault="00765BA7" w:rsidP="00765BA7">
      <w:pPr>
        <w:spacing w:line="360" w:lineRule="auto"/>
        <w:jc w:val="both"/>
        <w:rPr>
          <w:rFonts w:ascii="FrankRuehl" w:hAnsi="FrankRuehl" w:cs="FrankRuehl"/>
          <w:sz w:val="28"/>
          <w:szCs w:val="28"/>
          <w:rtl/>
        </w:rPr>
      </w:pPr>
      <w:r>
        <w:rPr>
          <w:rFonts w:ascii="FrankRuehl" w:hAnsi="FrankRuehl" w:cs="FrankRuehl"/>
          <w:sz w:val="28"/>
          <w:szCs w:val="28"/>
          <w:rtl/>
        </w:rPr>
        <w:lastRenderedPageBreak/>
        <w:t>11.</w:t>
      </w:r>
      <w:r>
        <w:rPr>
          <w:rFonts w:ascii="FrankRuehl" w:hAnsi="FrankRuehl" w:cs="FrankRuehl"/>
          <w:sz w:val="28"/>
          <w:szCs w:val="28"/>
          <w:rtl/>
        </w:rPr>
        <w:tab/>
        <w:t>לאחר שהתקבלה חוות הדעת הצדדים פנו לגישור.</w:t>
      </w:r>
    </w:p>
    <w:p w:rsidR="00765BA7" w:rsidRDefault="00765BA7" w:rsidP="00765BA7">
      <w:pPr>
        <w:spacing w:line="360" w:lineRule="auto"/>
        <w:jc w:val="both"/>
        <w:rPr>
          <w:rFonts w:ascii="FrankRuehl" w:hAnsi="FrankRuehl" w:cs="FrankRuehl"/>
          <w:sz w:val="28"/>
          <w:szCs w:val="28"/>
          <w:rtl/>
        </w:rPr>
      </w:pPr>
    </w:p>
    <w:p w:rsidR="00765BA7" w:rsidRDefault="00765BA7" w:rsidP="00765BA7">
      <w:pPr>
        <w:spacing w:line="360" w:lineRule="auto"/>
        <w:ind w:left="720" w:hanging="720"/>
        <w:jc w:val="both"/>
        <w:rPr>
          <w:rFonts w:ascii="FrankRuehl" w:hAnsi="FrankRuehl" w:cs="FrankRuehl"/>
          <w:sz w:val="28"/>
          <w:szCs w:val="28"/>
          <w:rtl/>
        </w:rPr>
      </w:pPr>
      <w:r>
        <w:rPr>
          <w:rFonts w:ascii="FrankRuehl" w:hAnsi="FrankRuehl" w:cs="FrankRuehl"/>
          <w:sz w:val="28"/>
          <w:szCs w:val="28"/>
          <w:rtl/>
        </w:rPr>
        <w:t>12.</w:t>
      </w:r>
      <w:r>
        <w:rPr>
          <w:rFonts w:ascii="FrankRuehl" w:hAnsi="FrankRuehl" w:cs="FrankRuehl"/>
          <w:sz w:val="28"/>
          <w:szCs w:val="28"/>
          <w:rtl/>
        </w:rPr>
        <w:tab/>
        <w:t xml:space="preserve">הגישור לא צלח ונקבע מועד לשמיעת ראיות. </w:t>
      </w:r>
    </w:p>
    <w:p w:rsidR="00765BA7" w:rsidRDefault="00765BA7" w:rsidP="00606666">
      <w:pPr>
        <w:spacing w:line="360" w:lineRule="auto"/>
        <w:ind w:left="720"/>
        <w:jc w:val="both"/>
        <w:rPr>
          <w:rFonts w:ascii="FrankRuehl" w:hAnsi="FrankRuehl" w:cs="FrankRuehl"/>
          <w:sz w:val="28"/>
          <w:szCs w:val="28"/>
          <w:rtl/>
        </w:rPr>
      </w:pPr>
      <w:r>
        <w:rPr>
          <w:rFonts w:ascii="FrankRuehl" w:hAnsi="FrankRuehl" w:cs="FrankRuehl"/>
          <w:sz w:val="28"/>
          <w:szCs w:val="28"/>
          <w:rtl/>
        </w:rPr>
        <w:t xml:space="preserve">עדויות ראשיות מטעם הצדדים הוגשו בתצהירים. מטעם התובע הוגשו תצהירים (סומנו ת/1, ת/2) וזומן לעדות מר </w:t>
      </w:r>
      <w:r w:rsidR="00606666">
        <w:rPr>
          <w:rFonts w:ascii="FrankRuehl" w:hAnsi="FrankRuehl" w:cs="FrankRuehl" w:hint="cs"/>
          <w:sz w:val="28"/>
          <w:szCs w:val="28"/>
          <w:rtl/>
        </w:rPr>
        <w:t>ט.ח.</w:t>
      </w:r>
      <w:r>
        <w:rPr>
          <w:rFonts w:ascii="FrankRuehl" w:hAnsi="FrankRuehl" w:cs="FrankRuehl"/>
          <w:sz w:val="28"/>
          <w:szCs w:val="28"/>
          <w:rtl/>
        </w:rPr>
        <w:t>. מטעם נתבע 1 הוגש תצהירו (סומן נ/2) ומסמכי בנק (סומנו נ/1). מטעם נתבע 2 הוגש תצהירו (סומן נ/3).</w:t>
      </w:r>
    </w:p>
    <w:p w:rsidR="00765BA7" w:rsidRDefault="00765BA7" w:rsidP="00765BA7">
      <w:pPr>
        <w:spacing w:line="360" w:lineRule="auto"/>
        <w:jc w:val="both"/>
        <w:rPr>
          <w:rFonts w:ascii="FrankRuehl" w:hAnsi="FrankRuehl" w:cs="FrankRuehl"/>
          <w:sz w:val="28"/>
          <w:szCs w:val="28"/>
          <w:rtl/>
        </w:rPr>
      </w:pPr>
    </w:p>
    <w:p w:rsidR="00765BA7" w:rsidRDefault="00765BA7" w:rsidP="009655AD">
      <w:pPr>
        <w:spacing w:line="360" w:lineRule="auto"/>
        <w:ind w:left="720" w:hanging="720"/>
        <w:jc w:val="both"/>
        <w:rPr>
          <w:rFonts w:ascii="FrankRuehl" w:hAnsi="FrankRuehl" w:cs="FrankRuehl"/>
          <w:sz w:val="28"/>
          <w:szCs w:val="28"/>
          <w:rtl/>
        </w:rPr>
      </w:pPr>
      <w:r>
        <w:rPr>
          <w:rFonts w:ascii="FrankRuehl" w:hAnsi="FrankRuehl" w:cs="FrankRuehl"/>
          <w:sz w:val="28"/>
          <w:szCs w:val="28"/>
          <w:rtl/>
        </w:rPr>
        <w:t>13.</w:t>
      </w:r>
      <w:r>
        <w:rPr>
          <w:rFonts w:ascii="FrankRuehl" w:hAnsi="FrankRuehl" w:cs="FrankRuehl"/>
          <w:sz w:val="28"/>
          <w:szCs w:val="28"/>
          <w:rtl/>
        </w:rPr>
        <w:tab/>
        <w:t xml:space="preserve">בסיכומיו חזר התובע על טענתו כי צירוף הנתבעים לחשבונות הבנק נעשה מטעמי נוחות והם ניצלו את צירופם לשם העברות כספים ללא שהאֵם המנוחה התכוונה לתת להם </w:t>
      </w:r>
      <w:r w:rsidR="009655AD">
        <w:rPr>
          <w:rFonts w:ascii="FrankRuehl" w:hAnsi="FrankRuehl" w:cs="FrankRuehl" w:hint="cs"/>
          <w:sz w:val="28"/>
          <w:szCs w:val="28"/>
          <w:rtl/>
        </w:rPr>
        <w:t xml:space="preserve">כספים </w:t>
      </w:r>
      <w:r>
        <w:rPr>
          <w:rFonts w:ascii="FrankRuehl" w:hAnsi="FrankRuehl" w:cs="FrankRuehl"/>
          <w:sz w:val="28"/>
          <w:szCs w:val="28"/>
          <w:rtl/>
        </w:rPr>
        <w:t xml:space="preserve">או </w:t>
      </w:r>
      <w:r w:rsidR="009655AD">
        <w:rPr>
          <w:rFonts w:ascii="FrankRuehl" w:hAnsi="FrankRuehl" w:cs="FrankRuehl" w:hint="cs"/>
          <w:sz w:val="28"/>
          <w:szCs w:val="28"/>
          <w:rtl/>
        </w:rPr>
        <w:t>פעלה ל</w:t>
      </w:r>
      <w:r>
        <w:rPr>
          <w:rFonts w:ascii="FrankRuehl" w:hAnsi="FrankRuehl" w:cs="FrankRuehl"/>
          <w:sz w:val="28"/>
          <w:szCs w:val="28"/>
          <w:rtl/>
        </w:rPr>
        <w:t>העברות אלו. עוד נטען כי לא בכדִי בכתב ההגנה המקורי לא נטען כי התובע חייב בכספי הלוואה לאב המנוח, וממילא הלוואה זו סולקה לפי פסק דין שניתן בהליך שהתנהל בארה"ב - שם, המקרקעין שנרכשו מאותם כספי הלוואה נטענת, הועברו על שם האב המנוח (בצוואת האב המנוח המקרקעין צוו לתובע). התובע העמיד את תביעתו על סך 1,666,666 ₪, לפי שיעור של 1/3 מתוך 5,000,000 ₪ שטען כי הועברו לנתבעים.</w:t>
      </w:r>
    </w:p>
    <w:p w:rsidR="00765BA7" w:rsidRDefault="00765BA7" w:rsidP="00765BA7">
      <w:pPr>
        <w:spacing w:line="360" w:lineRule="auto"/>
        <w:jc w:val="both"/>
        <w:rPr>
          <w:rFonts w:ascii="FrankRuehl" w:hAnsi="FrankRuehl" w:cs="FrankRuehl"/>
          <w:sz w:val="28"/>
          <w:szCs w:val="28"/>
          <w:rtl/>
        </w:rPr>
      </w:pPr>
    </w:p>
    <w:p w:rsidR="00765BA7" w:rsidRDefault="00765BA7" w:rsidP="00765BA7">
      <w:pPr>
        <w:spacing w:line="360" w:lineRule="auto"/>
        <w:ind w:left="720" w:hanging="720"/>
        <w:jc w:val="both"/>
        <w:rPr>
          <w:rFonts w:ascii="FrankRuehl" w:hAnsi="FrankRuehl" w:cs="FrankRuehl"/>
          <w:sz w:val="28"/>
          <w:szCs w:val="28"/>
          <w:rtl/>
        </w:rPr>
      </w:pPr>
      <w:r>
        <w:rPr>
          <w:rFonts w:ascii="FrankRuehl" w:hAnsi="FrankRuehl" w:cs="FrankRuehl"/>
          <w:sz w:val="28"/>
          <w:szCs w:val="28"/>
          <w:rtl/>
        </w:rPr>
        <w:t>14.</w:t>
      </w:r>
      <w:r>
        <w:rPr>
          <w:rFonts w:ascii="FrankRuehl" w:hAnsi="FrankRuehl" w:cs="FrankRuehl"/>
          <w:sz w:val="28"/>
          <w:szCs w:val="28"/>
          <w:rtl/>
        </w:rPr>
        <w:tab/>
        <w:t xml:space="preserve">נתבע 1 בסיכומיו חזר על טענותיו והדגיש כי התובע נותר חב בהחזר ההלוואה, הופלה לטובה בצוואת האב המנוח וכי האֵם המנוחה בעלת מחצית מהזכויות שהיו רשומות על שם האב המנוח מכוח הִלכת שיתוף ועל כן חלקו של כל אחד מהבנים הוא 1/8 מעִזבון האב המנוח והוא קיבל כספים ביתר, בכסף או בחלקו מתמורת המקרקעין שנמכרו לאחר פטירת האב המנוח. עוד נטען כי קיימות העברות כספים הקודמות למועד צירופו לחשבון הבנק והעברות שביצעה האֵם בוצעו בכל מקרה על דעתה ומרצונה ומדובר בשתי העברות שקיבל כל אחד מהאחים במשך כ-11 שנים - מה ששולל טענות כי שלטו בחשבונות. נטען כי על פי היתרות, במועד פטירת האב בחשבון הבנק בבנק "לאומי" הייתה יתרת הכספים סך 2,450,000 ₪ ובבנק "ערבי-ישראלי" סך 267,000 ₪, התובע קיבל סך 2,338,000 ₪ </w:t>
      </w:r>
      <w:r>
        <w:rPr>
          <w:rFonts w:ascii="FrankRuehl" w:hAnsi="FrankRuehl" w:cs="FrankRuehl"/>
          <w:color w:val="000000" w:themeColor="text1"/>
          <w:sz w:val="28"/>
          <w:szCs w:val="28"/>
          <w:rtl/>
        </w:rPr>
        <w:t>העולה על חלקו בעִזבון  ההורים המנוחים,</w:t>
      </w:r>
      <w:r>
        <w:rPr>
          <w:rFonts w:ascii="FrankRuehl" w:hAnsi="FrankRuehl" w:cs="FrankRuehl"/>
          <w:color w:val="FF0000"/>
          <w:sz w:val="28"/>
          <w:szCs w:val="28"/>
          <w:rtl/>
        </w:rPr>
        <w:t xml:space="preserve"> </w:t>
      </w:r>
      <w:r>
        <w:rPr>
          <w:rFonts w:ascii="FrankRuehl" w:hAnsi="FrankRuehl" w:cs="FrankRuehl"/>
          <w:sz w:val="28"/>
          <w:szCs w:val="28"/>
          <w:rtl/>
        </w:rPr>
        <w:t>ואילו נתבע 1 קיבל סך 1,905,000 ₪ ונתבע 2 סך 1,851,440 ₪. עוד עלה מדפי החשבון כי הפעם הראשונה בה הועברו כספים לנתבעים הייתה ביום 21.10.2009 עת הועבר סך 1,167,000 ₪ לנתבע 1 וסך 1,158,161 ₪ לנתבע 2 - וזאת בטרם צורפו לחשבונות.</w:t>
      </w:r>
    </w:p>
    <w:p w:rsidR="00765BA7" w:rsidRDefault="00765BA7" w:rsidP="00765BA7">
      <w:pPr>
        <w:spacing w:line="360" w:lineRule="auto"/>
        <w:jc w:val="both"/>
        <w:rPr>
          <w:rFonts w:ascii="FrankRuehl" w:hAnsi="FrankRuehl" w:cs="FrankRuehl"/>
          <w:sz w:val="28"/>
          <w:szCs w:val="28"/>
          <w:rtl/>
        </w:rPr>
      </w:pPr>
    </w:p>
    <w:p w:rsidR="00ED0789" w:rsidRDefault="00765BA7" w:rsidP="00765BA7">
      <w:pPr>
        <w:spacing w:line="360" w:lineRule="auto"/>
        <w:ind w:left="720" w:hanging="720"/>
        <w:jc w:val="both"/>
        <w:rPr>
          <w:rFonts w:ascii="FrankRuehl" w:hAnsi="FrankRuehl" w:cs="FrankRuehl"/>
          <w:sz w:val="28"/>
          <w:szCs w:val="28"/>
          <w:rtl/>
        </w:rPr>
      </w:pPr>
      <w:r>
        <w:rPr>
          <w:rFonts w:ascii="FrankRuehl" w:hAnsi="FrankRuehl" w:cs="FrankRuehl"/>
          <w:sz w:val="28"/>
          <w:szCs w:val="28"/>
          <w:rtl/>
        </w:rPr>
        <w:lastRenderedPageBreak/>
        <w:t>15.</w:t>
      </w:r>
      <w:r>
        <w:rPr>
          <w:rFonts w:ascii="FrankRuehl" w:hAnsi="FrankRuehl" w:cs="FrankRuehl"/>
          <w:sz w:val="28"/>
          <w:szCs w:val="28"/>
          <w:rtl/>
        </w:rPr>
        <w:tab/>
        <w:t>נתבע 2 בסיכומיו טען כי התובע רואה "</w:t>
      </w:r>
      <w:r>
        <w:rPr>
          <w:rFonts w:ascii="FrankRuehl" w:hAnsi="FrankRuehl" w:cs="Miriam"/>
          <w:sz w:val="28"/>
          <w:szCs w:val="23"/>
          <w:rtl/>
        </w:rPr>
        <w:t>צל הרים כהרים</w:t>
      </w:r>
      <w:r>
        <w:rPr>
          <w:rFonts w:ascii="FrankRuehl" w:hAnsi="FrankRuehl" w:cs="FrankRuehl"/>
          <w:sz w:val="28"/>
          <w:szCs w:val="28"/>
          <w:rtl/>
        </w:rPr>
        <w:t>" והתביעה הוגשה בשל רגשות קיפוח שאינן מבוססות שכן התובע קיבל מהוריו יותר משקיבלו אֵחיו. נטען כי אין מחלוקת כי האֵם המנוחה הייתה זכאית למחצית מהרכוש שנצבר על שם האב המנוח מכוח הִלכת השיתוף ועל כן, יתרת העִזבון התחלקה על פי צוואת האב המנוח, כך שחלקו של כל בן בעִזבון הוא בשיעור 1/8 והתובע קיבל למעלה מכך. נטען כי נתבע 2 צורף לחשבון בנק שיתרתו זניחה, כ-60,000 ₪, וממילא צירופו וצירוף נתבע 1 לחשבון אחר, נעשו בשל נוחות האֵם, ללא זכות קניין בכספים ואין על כך מחלוקת. עוד נטען כי דמי השכירות בגין הדירות שהשכירה האֵם המנוחה שולמו לאֵם המנוחה כסדרם. נטען כי העברה הראשונה לנתבעים נעשתה ביום 21.10.2009 כפי שנכתב בסיכומי נתבע 1 והעברה השנייה ביום 21.9.2011 מבנק "ערבי-ישראלי" סך 900,00 ₪ לנתבע 1 וסך 850,000 לנתבע 2, והוראת העברה חתומה על-ידי האֵם המנוחה עצמה בנוכחות 2 עדים אשר אישרו, בחתימתם, את חתימתה על מסמך ההוראה. על כן העברות נעשו לפי הנחיות האֵם המנוחה ומרצונה ואת החשבון בבנק "ערבי-ישראלי" הורתה האֵם לחלק בין שני הנתבעים בלבד. נטען כי האֵם הייתה כשירה וצלולה עד פטירתה וכי התובע לא עמד בנטל להוכיח מִרמה וקנוניה כטענתו או כי האֵם המנוחה לא ידעה על מה היא חותמת או כי העברות הכספים נעשו שלא מרצונה. ביחס לתביעתו הדגיש נתבע 2 כי רכוש האב בארה"ב שייך במחציתו לאֵם המנוחה ויש לחלקו בין 3 הבנים. נטען כי רכוש על שם האב המנוח בארה"ב כולל כ-600,000 דולר אותם העביר האב לתובע, חשבון בנק בבנק "</w:t>
      </w:r>
      <w:r>
        <w:rPr>
          <w:rFonts w:ascii="FrankRuehl" w:hAnsi="FrankRuehl" w:cs="FrankRuehl"/>
        </w:rPr>
        <w:t>Home Saving Of America</w:t>
      </w:r>
      <w:r>
        <w:rPr>
          <w:rFonts w:ascii="FrankRuehl" w:hAnsi="FrankRuehl" w:cs="FrankRuehl"/>
          <w:sz w:val="28"/>
          <w:szCs w:val="28"/>
          <w:rtl/>
        </w:rPr>
        <w:t xml:space="preserve">", בניין במדינת קליפורניה שבו 16 דירות וסניף </w:t>
      </w:r>
      <w:r>
        <w:rPr>
          <w:rFonts w:ascii="FrankRuehl" w:hAnsi="FrankRuehl" w:cs="FrankRuehl"/>
        </w:rPr>
        <w:t>Seven Eleven</w:t>
      </w:r>
      <w:r>
        <w:rPr>
          <w:rFonts w:ascii="FrankRuehl" w:hAnsi="FrankRuehl" w:cs="FrankRuehl"/>
          <w:rtl/>
        </w:rPr>
        <w:t xml:space="preserve"> </w:t>
      </w:r>
      <w:r>
        <w:rPr>
          <w:rFonts w:ascii="FrankRuehl" w:hAnsi="FrankRuehl" w:cs="FrankRuehl"/>
          <w:sz w:val="28"/>
          <w:szCs w:val="28"/>
          <w:rtl/>
        </w:rPr>
        <w:t xml:space="preserve">והלוואה על סך 262,000 דולר שהועברה בשנים 1993-1996. נטען כי ההלוואה לא הושבה ולא ברור אם שימשה לרכישת המקרקעין הנ"ל, אך יש לחלקה בין היורשים. </w:t>
      </w:r>
    </w:p>
    <w:p w:rsidR="00ED0789" w:rsidRDefault="00ED0789" w:rsidP="00765BA7">
      <w:pPr>
        <w:spacing w:line="360" w:lineRule="auto"/>
        <w:ind w:left="720" w:hanging="720"/>
        <w:jc w:val="both"/>
        <w:rPr>
          <w:rFonts w:ascii="FrankRuehl" w:hAnsi="FrankRuehl" w:cs="FrankRuehl"/>
          <w:sz w:val="28"/>
          <w:szCs w:val="28"/>
          <w:rtl/>
        </w:rPr>
      </w:pPr>
    </w:p>
    <w:p w:rsidR="00765BA7" w:rsidRDefault="00765BA7" w:rsidP="00ED0789">
      <w:pPr>
        <w:spacing w:line="360" w:lineRule="auto"/>
        <w:ind w:left="720"/>
        <w:jc w:val="both"/>
        <w:rPr>
          <w:rFonts w:ascii="FrankRuehl" w:hAnsi="FrankRuehl" w:cs="FrankRuehl"/>
          <w:sz w:val="28"/>
          <w:szCs w:val="28"/>
          <w:rtl/>
        </w:rPr>
      </w:pPr>
      <w:r>
        <w:rPr>
          <w:rFonts w:ascii="FrankRuehl" w:hAnsi="FrankRuehl" w:cs="FrankRuehl"/>
          <w:sz w:val="28"/>
          <w:szCs w:val="28"/>
          <w:rtl/>
        </w:rPr>
        <w:t xml:space="preserve">בעניין טענות התובע כי החזיר את ההלוואה בעת רישום הבניין על שם האב המנוח, נטען כי לא הוכח שווי הבניין, לא הוגשה חוו"ד דין זר המעידה כי ניתן לשלם את ההלוואה בהעברת זכויות שכזו, מסמכי התובע הוגשו באיחור ולא תורגמו. נטען גם כי הייתה על התובע החובה להשיב את ההלוואה בישראל ואין ראיה למחילת האב על החזר ההלוואה כך שנתבע 2 זכאי </w:t>
      </w:r>
      <w:r>
        <w:rPr>
          <w:rFonts w:ascii="FrankRuehl" w:hAnsi="FrankRuehl" w:cs="FrankRuehl"/>
          <w:color w:val="000000" w:themeColor="text1"/>
          <w:sz w:val="28"/>
          <w:szCs w:val="28"/>
          <w:rtl/>
        </w:rPr>
        <w:t>להחזר 1</w:t>
      </w:r>
      <w:r>
        <w:rPr>
          <w:rFonts w:ascii="FrankRuehl" w:hAnsi="FrankRuehl" w:cs="FrankRuehl"/>
          <w:sz w:val="28"/>
          <w:szCs w:val="28"/>
          <w:rtl/>
        </w:rPr>
        <w:t>/3 , היְינו 87,333 דולר.</w:t>
      </w:r>
    </w:p>
    <w:p w:rsidR="00765BA7" w:rsidRDefault="00765BA7" w:rsidP="00765BA7">
      <w:pPr>
        <w:spacing w:line="360" w:lineRule="auto"/>
        <w:jc w:val="both"/>
        <w:rPr>
          <w:rFonts w:ascii="FrankRuehl" w:hAnsi="FrankRuehl" w:cs="FrankRuehl"/>
          <w:sz w:val="28"/>
          <w:szCs w:val="28"/>
          <w:rtl/>
        </w:rPr>
      </w:pPr>
    </w:p>
    <w:p w:rsidR="00ED0789" w:rsidRDefault="00ED0789" w:rsidP="00765BA7">
      <w:pPr>
        <w:spacing w:line="360" w:lineRule="auto"/>
        <w:jc w:val="both"/>
        <w:rPr>
          <w:rFonts w:ascii="FrankRuehl" w:hAnsi="FrankRuehl" w:cs="FrankRuehl"/>
          <w:sz w:val="28"/>
          <w:szCs w:val="28"/>
          <w:rtl/>
        </w:rPr>
      </w:pPr>
    </w:p>
    <w:p w:rsidR="00765BA7" w:rsidRDefault="00765BA7" w:rsidP="00722111">
      <w:pPr>
        <w:spacing w:line="360" w:lineRule="auto"/>
        <w:ind w:left="720" w:hanging="720"/>
        <w:jc w:val="both"/>
        <w:rPr>
          <w:rFonts w:ascii="FrankRuehl" w:hAnsi="FrankRuehl" w:cs="FrankRuehl"/>
          <w:sz w:val="28"/>
          <w:szCs w:val="28"/>
          <w:rtl/>
        </w:rPr>
      </w:pPr>
      <w:r>
        <w:rPr>
          <w:rFonts w:ascii="FrankRuehl" w:hAnsi="FrankRuehl" w:cs="FrankRuehl"/>
          <w:sz w:val="28"/>
          <w:szCs w:val="28"/>
          <w:rtl/>
        </w:rPr>
        <w:lastRenderedPageBreak/>
        <w:t>16.</w:t>
      </w:r>
      <w:r>
        <w:rPr>
          <w:rFonts w:ascii="FrankRuehl" w:hAnsi="FrankRuehl" w:cs="FrankRuehl"/>
          <w:sz w:val="28"/>
          <w:szCs w:val="28"/>
          <w:rtl/>
        </w:rPr>
        <w:tab/>
        <w:t xml:space="preserve">התובע הגיש סיכומי תשובה ובהם חזר על הטענה כי הנתבעים רוקנו את חשבונות האֵם המנוחה, והטענה כי באוקטובר 2009 נתבע 1 לא היה שותף בחשבון נסתרה בראיות. נטען כי הנתבעים לא עמדו בנטל להוכיח כי מדובר בהעברה שהיא </w:t>
      </w:r>
      <w:r w:rsidR="009655AD">
        <w:rPr>
          <w:rFonts w:ascii="FrankRuehl" w:hAnsi="FrankRuehl" w:cs="FrankRuehl" w:hint="cs"/>
          <w:sz w:val="28"/>
          <w:szCs w:val="28"/>
          <w:rtl/>
        </w:rPr>
        <w:t>מרצון האם</w:t>
      </w:r>
      <w:r>
        <w:rPr>
          <w:rFonts w:ascii="FrankRuehl" w:hAnsi="FrankRuehl" w:cs="FrankRuehl"/>
          <w:sz w:val="28"/>
          <w:szCs w:val="28"/>
          <w:rtl/>
        </w:rPr>
        <w:t xml:space="preserve">, שכן אין מחלוקת כי האֵם הייתה </w:t>
      </w:r>
      <w:r>
        <w:rPr>
          <w:rFonts w:ascii="FrankRuehl" w:hAnsi="FrankRuehl" w:cs="FrankRuehl"/>
          <w:color w:val="000000" w:themeColor="text1"/>
          <w:sz w:val="28"/>
          <w:szCs w:val="28"/>
          <w:rtl/>
        </w:rPr>
        <w:t xml:space="preserve">תלויה </w:t>
      </w:r>
      <w:r>
        <w:rPr>
          <w:rFonts w:ascii="FrankRuehl" w:hAnsi="FrankRuehl" w:cs="FrankRuehl"/>
          <w:sz w:val="28"/>
          <w:szCs w:val="28"/>
          <w:rtl/>
        </w:rPr>
        <w:t xml:space="preserve">בהם, ולא הביאו לעדות את פקידי הבנק והסתירו מסמכים. נטען כי אין זה סביר כי אדם, בערוב ימיו, ייפרד מכל כספו ויותיר עצמו נתון לחסדי מקבל </w:t>
      </w:r>
      <w:r w:rsidR="009655AD">
        <w:rPr>
          <w:rFonts w:ascii="FrankRuehl" w:hAnsi="FrankRuehl" w:cs="FrankRuehl" w:hint="cs"/>
          <w:sz w:val="28"/>
          <w:szCs w:val="28"/>
          <w:rtl/>
        </w:rPr>
        <w:t>הכספים</w:t>
      </w:r>
      <w:r>
        <w:rPr>
          <w:rFonts w:ascii="FrankRuehl" w:hAnsi="FrankRuehl" w:cs="FrankRuehl"/>
          <w:sz w:val="28"/>
          <w:szCs w:val="28"/>
          <w:rtl/>
        </w:rPr>
        <w:t xml:space="preserve">, ללא מסמך בכתב המעגן את רצונו של </w:t>
      </w:r>
      <w:r w:rsidR="009655AD">
        <w:rPr>
          <w:rFonts w:ascii="FrankRuehl" w:hAnsi="FrankRuehl" w:cs="FrankRuehl" w:hint="cs"/>
          <w:sz w:val="28"/>
          <w:szCs w:val="28"/>
          <w:rtl/>
        </w:rPr>
        <w:t>ה</w:t>
      </w:r>
      <w:r w:rsidR="009655AD">
        <w:rPr>
          <w:rFonts w:ascii="FrankRuehl" w:hAnsi="FrankRuehl" w:cs="FrankRuehl"/>
          <w:sz w:val="28"/>
          <w:szCs w:val="28"/>
          <w:rtl/>
        </w:rPr>
        <w:t xml:space="preserve">נותן </w:t>
      </w:r>
      <w:r>
        <w:rPr>
          <w:rFonts w:ascii="FrankRuehl" w:hAnsi="FrankRuehl" w:cs="FrankRuehl"/>
          <w:sz w:val="28"/>
          <w:szCs w:val="28"/>
          <w:rtl/>
        </w:rPr>
        <w:t xml:space="preserve">וחובו של </w:t>
      </w:r>
      <w:r w:rsidR="009655AD">
        <w:rPr>
          <w:rFonts w:ascii="FrankRuehl" w:hAnsi="FrankRuehl" w:cs="FrankRuehl" w:hint="cs"/>
          <w:sz w:val="28"/>
          <w:szCs w:val="28"/>
          <w:rtl/>
        </w:rPr>
        <w:t>ה</w:t>
      </w:r>
      <w:r>
        <w:rPr>
          <w:rFonts w:ascii="FrankRuehl" w:hAnsi="FrankRuehl" w:cs="FrankRuehl"/>
          <w:sz w:val="28"/>
          <w:szCs w:val="28"/>
          <w:rtl/>
        </w:rPr>
        <w:t>מקבל לדאוג לו. נטען כי מסמך העברת הכספים אין בו די, משום שלא נכתב בו כי מדובר ב</w:t>
      </w:r>
      <w:r w:rsidR="00722111">
        <w:rPr>
          <w:rFonts w:ascii="FrankRuehl" w:hAnsi="FrankRuehl" w:cs="FrankRuehl" w:hint="cs"/>
          <w:sz w:val="28"/>
          <w:szCs w:val="28"/>
          <w:rtl/>
        </w:rPr>
        <w:t xml:space="preserve">העברה מרצון האם </w:t>
      </w:r>
      <w:r>
        <w:rPr>
          <w:rFonts w:ascii="FrankRuehl" w:hAnsi="FrankRuehl" w:cs="FrankRuehl"/>
          <w:sz w:val="28"/>
          <w:szCs w:val="28"/>
          <w:rtl/>
        </w:rPr>
        <w:t>או כי האֵם המנוחה ידעה כי היא מרוקנת את חשבונהּ ונותרת נתונה לחסדי מקבלי ה</w:t>
      </w:r>
      <w:r w:rsidR="00722111">
        <w:rPr>
          <w:rFonts w:ascii="FrankRuehl" w:hAnsi="FrankRuehl" w:cs="FrankRuehl" w:hint="cs"/>
          <w:sz w:val="28"/>
          <w:szCs w:val="28"/>
          <w:rtl/>
        </w:rPr>
        <w:t>כספים</w:t>
      </w:r>
      <w:r>
        <w:rPr>
          <w:rFonts w:ascii="FrankRuehl" w:hAnsi="FrankRuehl" w:cs="FrankRuehl"/>
          <w:sz w:val="28"/>
          <w:szCs w:val="28"/>
          <w:rtl/>
        </w:rPr>
        <w:t>. נטען כי על גבי מסמך העברת סך 738,000 ₪ מיום 04.01.2012 אל נתבע 1 , חתום נתבע 1 ולא האֵם המנוחה, וכך משיכות נוספות שפורטו בסעיף 22 שם, 88,000 ₪ סה"כ. התובע הוסיף ופירט את משיכות הכספים לאחר פטירת האֵם המנוחה: סך 50,700 ₪ על ידי נתבע 1 וסך 66,684 ₪ על ידי נתבע 2 – במועדים ובהעברות כמפורט בסעיפים 26-27 לסיכומי התשובה. התובע חזר וטען כי אין מדובר ב</w:t>
      </w:r>
      <w:r w:rsidR="009655AD">
        <w:rPr>
          <w:rFonts w:ascii="FrankRuehl" w:hAnsi="FrankRuehl" w:cs="FrankRuehl" w:hint="cs"/>
          <w:sz w:val="28"/>
          <w:szCs w:val="28"/>
          <w:rtl/>
        </w:rPr>
        <w:t>העברה מרצון האם</w:t>
      </w:r>
      <w:r>
        <w:rPr>
          <w:rFonts w:ascii="FrankRuehl" w:hAnsi="FrankRuehl" w:cs="FrankRuehl"/>
          <w:sz w:val="28"/>
          <w:szCs w:val="28"/>
          <w:rtl/>
        </w:rPr>
        <w:t xml:space="preserve">, ולראיה בתכתובת שהוחלפה בין ב"כ הצדדים לא אוזכרה </w:t>
      </w:r>
      <w:r w:rsidR="009655AD">
        <w:rPr>
          <w:rFonts w:ascii="FrankRuehl" w:hAnsi="FrankRuehl" w:cs="FrankRuehl" w:hint="cs"/>
          <w:sz w:val="28"/>
          <w:szCs w:val="28"/>
          <w:rtl/>
        </w:rPr>
        <w:t>"</w:t>
      </w:r>
      <w:r>
        <w:rPr>
          <w:rFonts w:ascii="FrankRuehl" w:hAnsi="FrankRuehl" w:cs="FrankRuehl"/>
          <w:sz w:val="28"/>
          <w:szCs w:val="28"/>
          <w:rtl/>
        </w:rPr>
        <w:t>מתנה</w:t>
      </w:r>
      <w:r w:rsidR="009655AD">
        <w:rPr>
          <w:rFonts w:ascii="FrankRuehl" w:hAnsi="FrankRuehl" w:cs="FrankRuehl" w:hint="cs"/>
          <w:sz w:val="28"/>
          <w:szCs w:val="28"/>
          <w:rtl/>
        </w:rPr>
        <w:t>"</w:t>
      </w:r>
      <w:r>
        <w:rPr>
          <w:rFonts w:ascii="FrankRuehl" w:hAnsi="FrankRuehl" w:cs="FrankRuehl"/>
          <w:sz w:val="28"/>
          <w:szCs w:val="28"/>
          <w:rtl/>
        </w:rPr>
        <w:t>. נטען כי הנתבעים</w:t>
      </w:r>
      <w:r>
        <w:rPr>
          <w:rFonts w:ascii="FrankRuehl" w:hAnsi="FrankRuehl" w:cs="FrankRuehl"/>
          <w:color w:val="000000" w:themeColor="text1"/>
          <w:sz w:val="28"/>
          <w:szCs w:val="28"/>
          <w:rtl/>
        </w:rPr>
        <w:t>, בחקירתם,</w:t>
      </w:r>
      <w:r>
        <w:rPr>
          <w:rFonts w:ascii="FrankRuehl" w:hAnsi="FrankRuehl" w:cs="FrankRuehl"/>
          <w:color w:val="FF0000"/>
          <w:sz w:val="28"/>
          <w:szCs w:val="28"/>
          <w:rtl/>
        </w:rPr>
        <w:t xml:space="preserve"> </w:t>
      </w:r>
      <w:r>
        <w:rPr>
          <w:rFonts w:ascii="FrankRuehl" w:hAnsi="FrankRuehl" w:cs="FrankRuehl"/>
          <w:sz w:val="28"/>
          <w:szCs w:val="28"/>
          <w:rtl/>
        </w:rPr>
        <w:t>עשו שימוש במילים ובמשפטים "לקח", "לקחתי", חלקנו", "כי מגיע לנו"  ולא "מתנה".</w:t>
      </w:r>
    </w:p>
    <w:p w:rsidR="00765BA7" w:rsidRDefault="00765BA7" w:rsidP="00765BA7">
      <w:pPr>
        <w:spacing w:line="360" w:lineRule="auto"/>
        <w:jc w:val="both"/>
        <w:rPr>
          <w:rFonts w:ascii="FrankRuehl" w:hAnsi="FrankRuehl" w:cs="FrankRuehl"/>
          <w:sz w:val="28"/>
          <w:szCs w:val="28"/>
          <w:rtl/>
        </w:rPr>
      </w:pPr>
    </w:p>
    <w:p w:rsidR="00765BA7" w:rsidRDefault="00765BA7" w:rsidP="00765BA7">
      <w:pPr>
        <w:spacing w:line="360" w:lineRule="auto"/>
        <w:jc w:val="both"/>
        <w:rPr>
          <w:rFonts w:ascii="FrankRuehl" w:hAnsi="FrankRuehl" w:cs="FrankRuehl"/>
          <w:b/>
          <w:bCs/>
          <w:sz w:val="28"/>
          <w:szCs w:val="28"/>
          <w:u w:val="single"/>
          <w:rtl/>
        </w:rPr>
      </w:pPr>
      <w:r>
        <w:rPr>
          <w:rFonts w:ascii="FrankRuehl" w:hAnsi="FrankRuehl" w:cs="FrankRuehl"/>
          <w:b/>
          <w:bCs/>
          <w:sz w:val="28"/>
          <w:szCs w:val="28"/>
          <w:u w:val="single"/>
          <w:rtl/>
        </w:rPr>
        <w:t>דיון והכרעה</w:t>
      </w:r>
      <w:r>
        <w:rPr>
          <w:rFonts w:ascii="FrankRuehl" w:hAnsi="FrankRuehl" w:cs="FrankRuehl"/>
          <w:b/>
          <w:bCs/>
          <w:sz w:val="28"/>
          <w:szCs w:val="28"/>
          <w:rtl/>
        </w:rPr>
        <w:t>:</w:t>
      </w:r>
    </w:p>
    <w:p w:rsidR="00765BA7" w:rsidRDefault="00765BA7" w:rsidP="00765BA7">
      <w:pPr>
        <w:spacing w:line="360" w:lineRule="auto"/>
        <w:jc w:val="both"/>
        <w:rPr>
          <w:rFonts w:ascii="FrankRuehl" w:hAnsi="FrankRuehl" w:cs="FrankRuehl"/>
          <w:sz w:val="28"/>
          <w:szCs w:val="28"/>
          <w:rtl/>
        </w:rPr>
      </w:pPr>
    </w:p>
    <w:p w:rsidR="00765BA7" w:rsidRDefault="00765BA7" w:rsidP="00771489">
      <w:pPr>
        <w:spacing w:line="360" w:lineRule="auto"/>
        <w:ind w:left="720" w:hanging="720"/>
        <w:jc w:val="both"/>
        <w:rPr>
          <w:rFonts w:ascii="FrankRuehl" w:hAnsi="FrankRuehl" w:cs="FrankRuehl"/>
          <w:sz w:val="28"/>
          <w:szCs w:val="28"/>
          <w:rtl/>
        </w:rPr>
      </w:pPr>
      <w:r>
        <w:rPr>
          <w:rFonts w:ascii="FrankRuehl" w:hAnsi="FrankRuehl" w:cs="FrankRuehl"/>
          <w:sz w:val="28"/>
          <w:szCs w:val="28"/>
          <w:rtl/>
        </w:rPr>
        <w:t>17.</w:t>
      </w:r>
      <w:r>
        <w:rPr>
          <w:rFonts w:ascii="FrankRuehl" w:hAnsi="FrankRuehl" w:cs="FrankRuehl"/>
          <w:sz w:val="28"/>
          <w:szCs w:val="28"/>
          <w:rtl/>
        </w:rPr>
        <w:tab/>
        <w:t>תמצית טענות התובע הן כי הנתבעים משכו מחשבונות הבנק של האב ו</w:t>
      </w:r>
      <w:r w:rsidR="00CA1866">
        <w:rPr>
          <w:rFonts w:ascii="FrankRuehl" w:hAnsi="FrankRuehl" w:cs="FrankRuehl" w:hint="cs"/>
          <w:sz w:val="28"/>
          <w:szCs w:val="28"/>
          <w:rtl/>
        </w:rPr>
        <w:t xml:space="preserve">של </w:t>
      </w:r>
      <w:r>
        <w:rPr>
          <w:rFonts w:ascii="FrankRuehl" w:hAnsi="FrankRuehl" w:cs="FrankRuehl"/>
          <w:sz w:val="28"/>
          <w:szCs w:val="28"/>
          <w:rtl/>
        </w:rPr>
        <w:t>האֵם המנוחים סכומים העולים על חלקם בעִזבון ה</w:t>
      </w:r>
      <w:r w:rsidR="00CA1866">
        <w:rPr>
          <w:rFonts w:ascii="FrankRuehl" w:hAnsi="FrankRuehl" w:cs="FrankRuehl" w:hint="cs"/>
          <w:sz w:val="28"/>
          <w:szCs w:val="28"/>
          <w:rtl/>
        </w:rPr>
        <w:t>הורים ה</w:t>
      </w:r>
      <w:r>
        <w:rPr>
          <w:rFonts w:ascii="FrankRuehl" w:hAnsi="FrankRuehl" w:cs="FrankRuehl"/>
          <w:sz w:val="28"/>
          <w:szCs w:val="28"/>
          <w:rtl/>
        </w:rPr>
        <w:t>מנוחים, אגב ניצול מצבה של האֵם המנוחה</w:t>
      </w:r>
      <w:r w:rsidR="00CA1866">
        <w:rPr>
          <w:rFonts w:ascii="FrankRuehl" w:hAnsi="FrankRuehl" w:cs="FrankRuehl" w:hint="cs"/>
          <w:sz w:val="28"/>
          <w:szCs w:val="28"/>
          <w:rtl/>
        </w:rPr>
        <w:t xml:space="preserve">. נטען כי </w:t>
      </w:r>
      <w:r>
        <w:rPr>
          <w:rFonts w:ascii="FrankRuehl" w:hAnsi="FrankRuehl" w:cs="FrankRuehl"/>
          <w:sz w:val="28"/>
          <w:szCs w:val="28"/>
          <w:rtl/>
        </w:rPr>
        <w:t>יש לחייב</w:t>
      </w:r>
      <w:r w:rsidR="00CA1866">
        <w:rPr>
          <w:rFonts w:ascii="FrankRuehl" w:hAnsi="FrankRuehl" w:cs="FrankRuehl" w:hint="cs"/>
          <w:sz w:val="28"/>
          <w:szCs w:val="28"/>
          <w:rtl/>
        </w:rPr>
        <w:t xml:space="preserve"> את הנתבעי</w:t>
      </w:r>
      <w:r>
        <w:rPr>
          <w:rFonts w:ascii="FrankRuehl" w:hAnsi="FrankRuehl" w:cs="FrankRuehl"/>
          <w:sz w:val="28"/>
          <w:szCs w:val="28"/>
          <w:rtl/>
        </w:rPr>
        <w:t>ם להשלים ל</w:t>
      </w:r>
      <w:r w:rsidR="00CA1866">
        <w:rPr>
          <w:rFonts w:ascii="FrankRuehl" w:hAnsi="FrankRuehl" w:cs="FrankRuehl" w:hint="cs"/>
          <w:sz w:val="28"/>
          <w:szCs w:val="28"/>
          <w:rtl/>
        </w:rPr>
        <w:t xml:space="preserve">תובע </w:t>
      </w:r>
      <w:r>
        <w:rPr>
          <w:rFonts w:ascii="FrankRuehl" w:hAnsi="FrankRuehl" w:cs="FrankRuehl"/>
          <w:sz w:val="28"/>
          <w:szCs w:val="28"/>
          <w:rtl/>
        </w:rPr>
        <w:t xml:space="preserve">את ההפרש, כך שכל אחד מהצדדים יזכה לסכום שווה – כפי חלקם  על פי צו קיום הצוואה שניתן אחר עִזבון האב וצו הירושה שניתן אחר עִזבון האֵם. תמצית טענות הנתבעים היא כי </w:t>
      </w:r>
      <w:r w:rsidR="00771489">
        <w:rPr>
          <w:rFonts w:ascii="FrankRuehl" w:hAnsi="FrankRuehl" w:cs="FrankRuehl" w:hint="cs"/>
          <w:sz w:val="28"/>
          <w:szCs w:val="28"/>
          <w:rtl/>
        </w:rPr>
        <w:t>לגרוע מ</w:t>
      </w:r>
      <w:r w:rsidR="00771489">
        <w:rPr>
          <w:rFonts w:ascii="FrankRuehl" w:hAnsi="FrankRuehl" w:cs="FrankRuehl"/>
          <w:sz w:val="28"/>
          <w:szCs w:val="28"/>
          <w:rtl/>
        </w:rPr>
        <w:t xml:space="preserve">היקף עִזבון האב מחצית </w:t>
      </w:r>
      <w:r>
        <w:rPr>
          <w:rFonts w:ascii="FrankRuehl" w:hAnsi="FrankRuehl" w:cs="FrankRuehl"/>
          <w:sz w:val="28"/>
          <w:szCs w:val="28"/>
          <w:rtl/>
        </w:rPr>
        <w:t>כספים</w:t>
      </w:r>
      <w:r w:rsidR="00771489">
        <w:rPr>
          <w:rFonts w:ascii="FrankRuehl" w:hAnsi="FrankRuehl" w:cs="FrankRuehl" w:hint="cs"/>
          <w:sz w:val="28"/>
          <w:szCs w:val="28"/>
          <w:rtl/>
        </w:rPr>
        <w:t xml:space="preserve"> נכסים </w:t>
      </w:r>
      <w:r>
        <w:rPr>
          <w:rFonts w:ascii="FrankRuehl" w:hAnsi="FrankRuehl" w:cs="FrankRuehl"/>
          <w:sz w:val="28"/>
          <w:szCs w:val="28"/>
          <w:rtl/>
        </w:rPr>
        <w:t>מכוח הִלכת שיתוף, ו</w:t>
      </w:r>
      <w:r w:rsidR="00771489">
        <w:rPr>
          <w:rFonts w:ascii="FrankRuehl" w:hAnsi="FrankRuehl" w:cs="FrankRuehl" w:hint="cs"/>
          <w:sz w:val="28"/>
          <w:szCs w:val="28"/>
          <w:rtl/>
        </w:rPr>
        <w:t>ל</w:t>
      </w:r>
      <w:r>
        <w:rPr>
          <w:rFonts w:ascii="FrankRuehl" w:hAnsi="FrankRuehl" w:cs="FrankRuehl"/>
          <w:sz w:val="28"/>
          <w:szCs w:val="28"/>
          <w:rtl/>
        </w:rPr>
        <w:t>כן התובע קיבל מעִזבון האב למעלה מחלקו</w:t>
      </w:r>
      <w:r w:rsidR="00771489">
        <w:rPr>
          <w:rFonts w:ascii="FrankRuehl" w:hAnsi="FrankRuehl" w:cs="FrankRuehl" w:hint="cs"/>
          <w:sz w:val="28"/>
          <w:szCs w:val="28"/>
          <w:rtl/>
        </w:rPr>
        <w:t xml:space="preserve">. עוד נטען כי </w:t>
      </w:r>
      <w:r>
        <w:rPr>
          <w:rFonts w:ascii="FrankRuehl" w:hAnsi="FrankRuehl" w:cs="FrankRuehl"/>
          <w:sz w:val="28"/>
          <w:szCs w:val="28"/>
          <w:rtl/>
        </w:rPr>
        <w:t xml:space="preserve">העברות כספים </w:t>
      </w:r>
      <w:r w:rsidR="00771489">
        <w:rPr>
          <w:rFonts w:ascii="FrankRuehl" w:hAnsi="FrankRuehl" w:cs="FrankRuehl" w:hint="cs"/>
          <w:sz w:val="28"/>
          <w:szCs w:val="28"/>
          <w:rtl/>
        </w:rPr>
        <w:t>מ</w:t>
      </w:r>
      <w:r>
        <w:rPr>
          <w:rFonts w:ascii="FrankRuehl" w:hAnsi="FrankRuehl" w:cs="FrankRuehl"/>
          <w:sz w:val="28"/>
          <w:szCs w:val="28"/>
          <w:rtl/>
        </w:rPr>
        <w:t xml:space="preserve">האֵם לנתבעים, בוצעו בתפקידהּ כמנהלת עִזבון האב או מכספים שהיו בבעלותהּ ולפי רצונה ולא </w:t>
      </w:r>
      <w:r>
        <w:rPr>
          <w:rFonts w:ascii="FrankRuehl" w:hAnsi="FrankRuehl" w:cs="FrankRuehl"/>
          <w:color w:val="000000" w:themeColor="text1"/>
          <w:sz w:val="28"/>
          <w:szCs w:val="28"/>
          <w:rtl/>
        </w:rPr>
        <w:t xml:space="preserve">בגין </w:t>
      </w:r>
      <w:r>
        <w:rPr>
          <w:rFonts w:ascii="FrankRuehl" w:hAnsi="FrankRuehl" w:cs="FrankRuehl"/>
          <w:sz w:val="28"/>
          <w:szCs w:val="28"/>
          <w:rtl/>
        </w:rPr>
        <w:t xml:space="preserve">חלקם של הנתבעים בעִזבון האב. עוד נטען כי התובע חב לעִזבון האב המנוח </w:t>
      </w:r>
      <w:r w:rsidR="00771489">
        <w:rPr>
          <w:rFonts w:ascii="FrankRuehl" w:hAnsi="FrankRuehl" w:cs="FrankRuehl" w:hint="cs"/>
          <w:sz w:val="28"/>
          <w:szCs w:val="28"/>
          <w:rtl/>
        </w:rPr>
        <w:t xml:space="preserve">החזר </w:t>
      </w:r>
      <w:r>
        <w:rPr>
          <w:rFonts w:ascii="FrankRuehl" w:hAnsi="FrankRuehl" w:cs="FrankRuehl"/>
          <w:sz w:val="28"/>
          <w:szCs w:val="28"/>
          <w:rtl/>
        </w:rPr>
        <w:t xml:space="preserve">הלוואה ומחצית הנכסים שנצברו על שם האב המנוח בארה"ב </w:t>
      </w:r>
      <w:r w:rsidR="00771489">
        <w:rPr>
          <w:rFonts w:ascii="FrankRuehl" w:hAnsi="FrankRuehl" w:cs="FrankRuehl" w:hint="cs"/>
          <w:sz w:val="28"/>
          <w:szCs w:val="28"/>
          <w:rtl/>
        </w:rPr>
        <w:t xml:space="preserve">שכן הם </w:t>
      </w:r>
      <w:r>
        <w:rPr>
          <w:rFonts w:ascii="FrankRuehl" w:hAnsi="FrankRuehl" w:cs="FrankRuehl"/>
          <w:sz w:val="28"/>
          <w:szCs w:val="28"/>
          <w:rtl/>
        </w:rPr>
        <w:t>שייכים לעִזבון האֵם המנוחה לאור הִלכת השיתוף</w:t>
      </w:r>
      <w:r w:rsidR="00771489">
        <w:rPr>
          <w:rFonts w:ascii="FrankRuehl" w:hAnsi="FrankRuehl" w:cs="FrankRuehl" w:hint="cs"/>
          <w:sz w:val="28"/>
          <w:szCs w:val="28"/>
          <w:rtl/>
        </w:rPr>
        <w:t xml:space="preserve"> </w:t>
      </w:r>
      <w:r>
        <w:rPr>
          <w:rFonts w:ascii="FrankRuehl" w:hAnsi="FrankRuehl" w:cs="FrankRuehl"/>
          <w:sz w:val="28"/>
          <w:szCs w:val="28"/>
          <w:rtl/>
        </w:rPr>
        <w:t xml:space="preserve">ולכן לא הונחלו לתובע </w:t>
      </w:r>
      <w:r w:rsidR="003968F2">
        <w:rPr>
          <w:rFonts w:ascii="FrankRuehl" w:hAnsi="FrankRuehl" w:cs="FrankRuehl" w:hint="cs"/>
          <w:sz w:val="28"/>
          <w:szCs w:val="28"/>
          <w:rtl/>
        </w:rPr>
        <w:t xml:space="preserve">כחלק מרכוש שהונחל לתובע על פי צוואת </w:t>
      </w:r>
      <w:r>
        <w:rPr>
          <w:rFonts w:ascii="FrankRuehl" w:hAnsi="FrankRuehl" w:cs="FrankRuehl"/>
          <w:sz w:val="28"/>
          <w:szCs w:val="28"/>
          <w:rtl/>
        </w:rPr>
        <w:t>האב</w:t>
      </w:r>
      <w:r w:rsidR="003968F2">
        <w:rPr>
          <w:rFonts w:ascii="FrankRuehl" w:hAnsi="FrankRuehl" w:cs="FrankRuehl" w:hint="cs"/>
          <w:sz w:val="28"/>
          <w:szCs w:val="28"/>
          <w:rtl/>
        </w:rPr>
        <w:t xml:space="preserve"> המנוח</w:t>
      </w:r>
      <w:r w:rsidR="006F2E65">
        <w:rPr>
          <w:rFonts w:ascii="FrankRuehl" w:hAnsi="FrankRuehl" w:cs="FrankRuehl" w:hint="cs"/>
          <w:sz w:val="28"/>
          <w:szCs w:val="28"/>
          <w:rtl/>
        </w:rPr>
        <w:t xml:space="preserve"> (שהנחיל לתובע את כל רכושו בארה"ב)</w:t>
      </w:r>
      <w:r>
        <w:rPr>
          <w:rFonts w:ascii="FrankRuehl" w:hAnsi="FrankRuehl" w:cs="FrankRuehl"/>
          <w:sz w:val="28"/>
          <w:szCs w:val="28"/>
          <w:rtl/>
        </w:rPr>
        <w:t>.</w:t>
      </w:r>
    </w:p>
    <w:p w:rsidR="00765BA7" w:rsidRDefault="00765BA7" w:rsidP="00765BA7">
      <w:pPr>
        <w:spacing w:line="360" w:lineRule="auto"/>
        <w:ind w:left="720" w:hanging="720"/>
        <w:jc w:val="both"/>
        <w:rPr>
          <w:rFonts w:ascii="FrankRuehl" w:hAnsi="FrankRuehl" w:cs="FrankRuehl"/>
          <w:sz w:val="28"/>
          <w:szCs w:val="28"/>
          <w:rtl/>
        </w:rPr>
      </w:pPr>
      <w:r>
        <w:rPr>
          <w:rFonts w:ascii="FrankRuehl" w:hAnsi="FrankRuehl" w:cs="FrankRuehl"/>
          <w:sz w:val="28"/>
          <w:szCs w:val="28"/>
          <w:rtl/>
        </w:rPr>
        <w:lastRenderedPageBreak/>
        <w:t>18.</w:t>
      </w:r>
      <w:r>
        <w:rPr>
          <w:rFonts w:ascii="FrankRuehl" w:hAnsi="FrankRuehl" w:cs="FrankRuehl"/>
          <w:sz w:val="28"/>
          <w:szCs w:val="28"/>
          <w:rtl/>
        </w:rPr>
        <w:tab/>
        <w:t xml:space="preserve">כבר בראש חלק זה אציין כי </w:t>
      </w:r>
      <w:r>
        <w:rPr>
          <w:rFonts w:ascii="FrankRuehl" w:hAnsi="FrankRuehl" w:cs="FrankRuehl"/>
          <w:b/>
          <w:bCs/>
          <w:sz w:val="28"/>
          <w:szCs w:val="28"/>
          <w:rtl/>
        </w:rPr>
        <w:t>האֵם המנוחה לא מונתה כמנהלת עִזבון המנוח</w:t>
      </w:r>
      <w:r>
        <w:rPr>
          <w:rFonts w:ascii="FrankRuehl" w:hAnsi="FrankRuehl" w:cs="FrankRuehl"/>
          <w:sz w:val="28"/>
          <w:szCs w:val="28"/>
          <w:rtl/>
        </w:rPr>
        <w:t xml:space="preserve"> שהרי לא ניתן צו מינוי למינויה. אמנם צוואת המנוח כללה הוראה כי האֵם המנוחה תמונֶה כמנהלת עִזבון – אך לא התבקש צו למינויה ופשיטא שזה לא ניתן. משמעו הדבר כי טענות הנתבעים בנוגע לפעולות שביצעה האֵם המנוחה, אם ביצעה, בתור מנהלת עִזבון – דינן דחייה.</w:t>
      </w:r>
    </w:p>
    <w:p w:rsidR="003968F2" w:rsidRDefault="003968F2" w:rsidP="00765BA7">
      <w:pPr>
        <w:spacing w:line="360" w:lineRule="auto"/>
        <w:jc w:val="both"/>
        <w:rPr>
          <w:rFonts w:ascii="FrankRuehl" w:hAnsi="FrankRuehl" w:cs="FrankRuehl"/>
          <w:sz w:val="28"/>
          <w:szCs w:val="28"/>
          <w:rtl/>
        </w:rPr>
      </w:pPr>
    </w:p>
    <w:p w:rsidR="00765BA7" w:rsidRDefault="00765BA7" w:rsidP="00EE0846">
      <w:pPr>
        <w:spacing w:line="360" w:lineRule="auto"/>
        <w:ind w:left="720" w:hanging="720"/>
        <w:jc w:val="both"/>
        <w:rPr>
          <w:rFonts w:ascii="FrankRuehl" w:hAnsi="FrankRuehl" w:cs="FrankRuehl"/>
          <w:sz w:val="28"/>
          <w:szCs w:val="28"/>
          <w:rtl/>
        </w:rPr>
      </w:pPr>
      <w:r>
        <w:rPr>
          <w:rFonts w:ascii="FrankRuehl" w:hAnsi="FrankRuehl" w:cs="FrankRuehl"/>
          <w:sz w:val="28"/>
          <w:szCs w:val="28"/>
          <w:rtl/>
        </w:rPr>
        <w:t>19.</w:t>
      </w:r>
      <w:r>
        <w:rPr>
          <w:rFonts w:ascii="FrankRuehl" w:hAnsi="FrankRuehl" w:cs="FrankRuehl"/>
          <w:sz w:val="28"/>
          <w:szCs w:val="28"/>
          <w:rtl/>
        </w:rPr>
        <w:tab/>
        <w:t>אשר לטענות הנתבעים כי מאחר ולאֵם המנוחה מחצית מכל הרכוש שנצבר על שם האב המנוח מכוח הִלכת שיתוף ועל כך חלקו של התובע בעִזבון האב המנוח נמוך מהסכומים שקיבל על חשבון חלקו הנ"ל –</w:t>
      </w:r>
      <w:r w:rsidR="00EE0846">
        <w:rPr>
          <w:rFonts w:ascii="FrankRuehl" w:hAnsi="FrankRuehl" w:cs="FrankRuehl" w:hint="cs"/>
          <w:color w:val="000000" w:themeColor="text1"/>
          <w:sz w:val="28"/>
          <w:szCs w:val="28"/>
          <w:rtl/>
        </w:rPr>
        <w:t xml:space="preserve"> יצוין כי </w:t>
      </w:r>
      <w:r>
        <w:rPr>
          <w:rFonts w:ascii="FrankRuehl" w:hAnsi="FrankRuehl" w:cs="FrankRuehl"/>
          <w:sz w:val="28"/>
          <w:szCs w:val="28"/>
          <w:rtl/>
        </w:rPr>
        <w:t>לעניין הכספים</w:t>
      </w:r>
      <w:r w:rsidR="00914994">
        <w:rPr>
          <w:rFonts w:ascii="FrankRuehl" w:hAnsi="FrankRuehl" w:cs="FrankRuehl" w:hint="cs"/>
          <w:sz w:val="28"/>
          <w:szCs w:val="28"/>
          <w:rtl/>
        </w:rPr>
        <w:t xml:space="preserve"> בחשבונות הבנק</w:t>
      </w:r>
      <w:r>
        <w:rPr>
          <w:rFonts w:ascii="FrankRuehl" w:hAnsi="FrankRuehl" w:cs="FrankRuehl"/>
          <w:sz w:val="28"/>
          <w:szCs w:val="28"/>
          <w:rtl/>
        </w:rPr>
        <w:t>, ל</w:t>
      </w:r>
      <w:r w:rsidR="00914994">
        <w:rPr>
          <w:rFonts w:ascii="FrankRuehl" w:hAnsi="FrankRuehl" w:cs="FrankRuehl" w:hint="cs"/>
          <w:sz w:val="28"/>
          <w:szCs w:val="28"/>
          <w:rtl/>
        </w:rPr>
        <w:t xml:space="preserve">שאלת תחולת השיתוף </w:t>
      </w:r>
      <w:r>
        <w:rPr>
          <w:rFonts w:ascii="FrankRuehl" w:hAnsi="FrankRuehl" w:cs="FrankRuehl"/>
          <w:sz w:val="28"/>
          <w:szCs w:val="28"/>
          <w:rtl/>
        </w:rPr>
        <w:t>אין משמעות מאחר והאם הייתה רשומה כבעלים במשותף עם האב בחשבונות.</w:t>
      </w:r>
      <w:r w:rsidR="00914994">
        <w:rPr>
          <w:rFonts w:ascii="FrankRuehl" w:hAnsi="FrankRuehl" w:cs="FrankRuehl" w:hint="cs"/>
          <w:sz w:val="28"/>
          <w:szCs w:val="28"/>
          <w:rtl/>
        </w:rPr>
        <w:t xml:space="preserve"> </w:t>
      </w:r>
      <w:r w:rsidR="00EE0846">
        <w:rPr>
          <w:rFonts w:ascii="FrankRuehl" w:hAnsi="FrankRuehl" w:cs="FrankRuehl" w:hint="cs"/>
          <w:sz w:val="28"/>
          <w:szCs w:val="28"/>
          <w:rtl/>
        </w:rPr>
        <w:t xml:space="preserve">ואילו </w:t>
      </w:r>
      <w:r w:rsidR="00914994">
        <w:rPr>
          <w:rFonts w:ascii="FrankRuehl" w:hAnsi="FrankRuehl" w:cs="FrankRuehl" w:hint="cs"/>
          <w:sz w:val="28"/>
          <w:szCs w:val="28"/>
          <w:rtl/>
        </w:rPr>
        <w:t xml:space="preserve">ביחס לרכוש אחר </w:t>
      </w:r>
      <w:r w:rsidR="00EE0846">
        <w:rPr>
          <w:rFonts w:ascii="FrankRuehl" w:hAnsi="FrankRuehl" w:cs="FrankRuehl" w:hint="cs"/>
          <w:sz w:val="28"/>
          <w:szCs w:val="28"/>
          <w:rtl/>
        </w:rPr>
        <w:t xml:space="preserve">שנטען כי האם היא בלעת מחציתו ועל כן אינו חלק ממסת נכסי עיזבון האב </w:t>
      </w:r>
      <w:r w:rsidR="00914994">
        <w:rPr>
          <w:rFonts w:ascii="FrankRuehl" w:hAnsi="FrankRuehl" w:cs="FrankRuehl" w:hint="cs"/>
          <w:sz w:val="28"/>
          <w:szCs w:val="28"/>
          <w:rtl/>
        </w:rPr>
        <w:t>(מקרקעין וכספים הארה"ב)</w:t>
      </w:r>
      <w:r w:rsidR="00EE0846">
        <w:rPr>
          <w:rFonts w:ascii="FrankRuehl" w:hAnsi="FrankRuehl" w:cs="FrankRuehl" w:hint="cs"/>
          <w:sz w:val="28"/>
          <w:szCs w:val="28"/>
          <w:rtl/>
        </w:rPr>
        <w:t>,</w:t>
      </w:r>
      <w:r w:rsidR="00914994">
        <w:rPr>
          <w:rFonts w:ascii="FrankRuehl" w:hAnsi="FrankRuehl" w:cs="FrankRuehl" w:hint="cs"/>
          <w:sz w:val="28"/>
          <w:szCs w:val="28"/>
          <w:rtl/>
        </w:rPr>
        <w:t xml:space="preserve"> מצאתי לדחות הטענה לגופה</w:t>
      </w:r>
      <w:r w:rsidR="00EE0846">
        <w:rPr>
          <w:rFonts w:ascii="FrankRuehl" w:hAnsi="FrankRuehl" w:cs="FrankRuehl" w:hint="cs"/>
          <w:sz w:val="28"/>
          <w:szCs w:val="28"/>
          <w:rtl/>
        </w:rPr>
        <w:t>.</w:t>
      </w:r>
      <w:r w:rsidR="00914994">
        <w:rPr>
          <w:rFonts w:ascii="FrankRuehl" w:hAnsi="FrankRuehl" w:cs="FrankRuehl" w:hint="cs"/>
          <w:sz w:val="28"/>
          <w:szCs w:val="28"/>
          <w:rtl/>
        </w:rPr>
        <w:t xml:space="preserve"> </w:t>
      </w:r>
      <w:r>
        <w:rPr>
          <w:rFonts w:ascii="FrankRuehl" w:hAnsi="FrankRuehl" w:cs="FrankRuehl"/>
          <w:b/>
          <w:bCs/>
          <w:sz w:val="28"/>
          <w:szCs w:val="28"/>
          <w:rtl/>
        </w:rPr>
        <w:t>ואלו נימוקי</w:t>
      </w:r>
      <w:r>
        <w:rPr>
          <w:rFonts w:ascii="FrankRuehl" w:hAnsi="FrankRuehl" w:cs="FrankRuehl"/>
          <w:sz w:val="28"/>
          <w:szCs w:val="28"/>
          <w:rtl/>
        </w:rPr>
        <w:t>:</w:t>
      </w:r>
    </w:p>
    <w:p w:rsidR="00765BA7" w:rsidRDefault="00765BA7" w:rsidP="00765BA7">
      <w:pPr>
        <w:spacing w:line="360" w:lineRule="auto"/>
        <w:jc w:val="both"/>
        <w:rPr>
          <w:rFonts w:ascii="FrankRuehl" w:hAnsi="FrankRuehl" w:cs="FrankRuehl"/>
          <w:sz w:val="28"/>
          <w:szCs w:val="28"/>
          <w:rtl/>
        </w:rPr>
      </w:pPr>
    </w:p>
    <w:p w:rsidR="00787A4E" w:rsidRDefault="00765BA7" w:rsidP="00787A4E">
      <w:pPr>
        <w:spacing w:line="360" w:lineRule="auto"/>
        <w:ind w:left="720" w:hanging="720"/>
        <w:jc w:val="both"/>
        <w:rPr>
          <w:rFonts w:ascii="FrankRuehl" w:hAnsi="FrankRuehl" w:cs="FrankRuehl"/>
          <w:sz w:val="28"/>
          <w:szCs w:val="28"/>
          <w:rtl/>
        </w:rPr>
      </w:pPr>
      <w:r>
        <w:rPr>
          <w:rFonts w:ascii="FrankRuehl" w:hAnsi="FrankRuehl" w:cs="FrankRuehl"/>
          <w:sz w:val="28"/>
          <w:szCs w:val="28"/>
          <w:rtl/>
        </w:rPr>
        <w:t>20.</w:t>
      </w:r>
      <w:r>
        <w:rPr>
          <w:rFonts w:ascii="FrankRuehl" w:hAnsi="FrankRuehl" w:cs="FrankRuehl"/>
          <w:sz w:val="28"/>
          <w:szCs w:val="28"/>
          <w:rtl/>
        </w:rPr>
        <w:tab/>
      </w:r>
      <w:r w:rsidR="00D254A4">
        <w:rPr>
          <w:rFonts w:ascii="FrankRuehl" w:hAnsi="FrankRuehl" w:cs="FrankRuehl"/>
          <w:sz w:val="28"/>
          <w:szCs w:val="28"/>
          <w:rtl/>
        </w:rPr>
        <w:t xml:space="preserve">הרציונל של הִלכת שיתוף הוא לתת ביטוי ממשי לכוונה משוערת של בני-זוג כי הם שותפים שווים ברכוש שנצבר במהלך החיים המשותפים. </w:t>
      </w:r>
      <w:r w:rsidR="00787A4E">
        <w:rPr>
          <w:rFonts w:ascii="FrankRuehl" w:hAnsi="FrankRuehl" w:cs="FrankRuehl" w:hint="cs"/>
          <w:sz w:val="28"/>
          <w:szCs w:val="28"/>
          <w:rtl/>
        </w:rPr>
        <w:t xml:space="preserve">תוצאתה של הלכת השיתוף היא </w:t>
      </w:r>
      <w:r w:rsidR="00787A4E">
        <w:rPr>
          <w:rFonts w:ascii="FrankRuehl" w:hAnsi="FrankRuehl" w:cs="FrankRuehl"/>
          <w:sz w:val="28"/>
          <w:szCs w:val="28"/>
          <w:rtl/>
        </w:rPr>
        <w:t xml:space="preserve">כי רכוש שנצבר על שם בני הזוג במהלך חייהם המשותפים, הוא רכוש המשותף לשניהם בחלקים שווים - יהא אופן רישומו של הבעלות על הרכוש אשר יהא. ראו: בג"צ 1000/92 </w:t>
      </w:r>
      <w:r w:rsidR="00787A4E">
        <w:rPr>
          <w:rFonts w:ascii="FrankRuehl" w:hAnsi="FrankRuehl" w:cs="FrankRuehl"/>
          <w:b/>
          <w:bCs/>
          <w:sz w:val="28"/>
          <w:szCs w:val="28"/>
          <w:rtl/>
        </w:rPr>
        <w:t>בבלי נ' בית הדין הרבני הגדול</w:t>
      </w:r>
      <w:r w:rsidR="00787A4E">
        <w:rPr>
          <w:rFonts w:ascii="FrankRuehl" w:hAnsi="FrankRuehl" w:cs="FrankRuehl"/>
          <w:sz w:val="28"/>
          <w:szCs w:val="28"/>
          <w:rtl/>
        </w:rPr>
        <w:t>, מח(2) 221 מיום 7/2/1994.</w:t>
      </w:r>
      <w:r w:rsidR="00787A4E">
        <w:rPr>
          <w:rFonts w:ascii="FrankRuehl" w:hAnsi="FrankRuehl" w:cs="FrankRuehl" w:hint="cs"/>
          <w:sz w:val="28"/>
          <w:szCs w:val="28"/>
          <w:rtl/>
        </w:rPr>
        <w:t xml:space="preserve"> </w:t>
      </w:r>
    </w:p>
    <w:p w:rsidR="00787A4E" w:rsidRDefault="00787A4E" w:rsidP="00787A4E">
      <w:pPr>
        <w:spacing w:line="360" w:lineRule="auto"/>
        <w:ind w:left="720" w:hanging="720"/>
        <w:jc w:val="both"/>
        <w:rPr>
          <w:rFonts w:ascii="FrankRuehl" w:hAnsi="FrankRuehl" w:cs="FrankRuehl"/>
          <w:sz w:val="28"/>
          <w:szCs w:val="28"/>
          <w:rtl/>
        </w:rPr>
      </w:pPr>
    </w:p>
    <w:p w:rsidR="00787A4E" w:rsidRDefault="00787A4E" w:rsidP="00787A4E">
      <w:pPr>
        <w:spacing w:line="360" w:lineRule="auto"/>
        <w:ind w:left="720"/>
        <w:jc w:val="both"/>
        <w:rPr>
          <w:rFonts w:ascii="FrankRuehl" w:hAnsi="FrankRuehl" w:cs="FrankRuehl"/>
          <w:sz w:val="28"/>
          <w:szCs w:val="28"/>
          <w:rtl/>
        </w:rPr>
      </w:pPr>
      <w:r>
        <w:rPr>
          <w:rFonts w:ascii="FrankRuehl" w:hAnsi="FrankRuehl" w:cs="FrankRuehl"/>
          <w:sz w:val="28"/>
          <w:szCs w:val="28"/>
          <w:rtl/>
        </w:rPr>
        <w:t xml:space="preserve">המטרה ביצירתהּ של הִלכת השיתוף היא שוויון בין המינים מתוך הנחה שבחייהם המשותפים בני-זוג תורמים, כל אחד לפי דרכו וחלקו - לרווחת המשפחה. תרומה אינה בהכרח תרומה כספית; לדוגמא, יכול ותהא גידול ילדים משותפים, חינוכם, טיפוחם או עבודות בית, כך שמתאפשר לבן-זוג המפרנס לעבוד מחוץ לבית ללא דאגה לנושאים אלו. ראו: ע"א 5640/94 </w:t>
      </w:r>
      <w:r>
        <w:rPr>
          <w:rFonts w:ascii="FrankRuehl" w:hAnsi="FrankRuehl" w:cs="FrankRuehl"/>
          <w:b/>
          <w:bCs/>
          <w:sz w:val="28"/>
          <w:szCs w:val="28"/>
          <w:rtl/>
        </w:rPr>
        <w:t>חסל נ' חסל</w:t>
      </w:r>
      <w:r>
        <w:rPr>
          <w:rFonts w:ascii="FrankRuehl" w:hAnsi="FrankRuehl" w:cs="FrankRuehl"/>
          <w:sz w:val="28"/>
          <w:szCs w:val="28"/>
          <w:rtl/>
        </w:rPr>
        <w:t xml:space="preserve">, נ(4) 250 מיום 9/1/1997, ע"א 87/85 </w:t>
      </w:r>
      <w:r>
        <w:rPr>
          <w:rFonts w:ascii="FrankRuehl" w:hAnsi="FrankRuehl" w:cs="FrankRuehl"/>
          <w:b/>
          <w:bCs/>
          <w:sz w:val="28"/>
          <w:szCs w:val="28"/>
          <w:rtl/>
        </w:rPr>
        <w:t xml:space="preserve">מ. מנחם נ' עִזבון המנוח סלם שלום מנחם ואח', </w:t>
      </w:r>
      <w:r>
        <w:rPr>
          <w:rFonts w:ascii="FrankRuehl" w:hAnsi="FrankRuehl" w:cs="FrankRuehl"/>
          <w:sz w:val="28"/>
          <w:szCs w:val="28"/>
          <w:rtl/>
        </w:rPr>
        <w:t>פד"י מא (2) 785, 791.</w:t>
      </w:r>
    </w:p>
    <w:p w:rsidR="00787A4E" w:rsidRDefault="00787A4E" w:rsidP="00787A4E">
      <w:pPr>
        <w:spacing w:line="360" w:lineRule="auto"/>
        <w:ind w:left="720"/>
        <w:jc w:val="both"/>
        <w:rPr>
          <w:rFonts w:ascii="FrankRuehl" w:hAnsi="FrankRuehl" w:cs="FrankRuehl"/>
          <w:sz w:val="28"/>
          <w:szCs w:val="28"/>
          <w:rtl/>
        </w:rPr>
      </w:pPr>
    </w:p>
    <w:p w:rsidR="00765BA7" w:rsidRDefault="00D254A4" w:rsidP="00787A4E">
      <w:pPr>
        <w:spacing w:line="360" w:lineRule="auto"/>
        <w:ind w:left="720"/>
        <w:jc w:val="both"/>
        <w:rPr>
          <w:rFonts w:ascii="FrankRuehl" w:hAnsi="FrankRuehl" w:cs="FrankRuehl"/>
          <w:sz w:val="28"/>
          <w:szCs w:val="28"/>
          <w:rtl/>
        </w:rPr>
      </w:pPr>
      <w:r>
        <w:rPr>
          <w:rFonts w:ascii="FrankRuehl" w:hAnsi="FrankRuehl" w:cs="FrankRuehl"/>
          <w:sz w:val="28"/>
          <w:szCs w:val="28"/>
          <w:rtl/>
        </w:rPr>
        <w:t>במוקד</w:t>
      </w:r>
      <w:r w:rsidR="00787A4E">
        <w:rPr>
          <w:rFonts w:ascii="FrankRuehl" w:hAnsi="FrankRuehl" w:cs="FrankRuehl" w:hint="cs"/>
          <w:sz w:val="28"/>
          <w:szCs w:val="28"/>
          <w:rtl/>
        </w:rPr>
        <w:t xml:space="preserve"> הלכת השיתוף</w:t>
      </w:r>
      <w:r>
        <w:rPr>
          <w:rFonts w:ascii="FrankRuehl" w:hAnsi="FrankRuehl" w:cs="FrankRuehl"/>
          <w:sz w:val="28"/>
          <w:szCs w:val="28"/>
          <w:rtl/>
        </w:rPr>
        <w:t xml:space="preserve"> מונחת חזקה כי כוונת בני זוג היא ליצור שיתוף מלא בכל נכסיהם – וזאת בהיעדר כוונה אחרת המתגלה מהנסיבות; </w:t>
      </w:r>
      <w:r w:rsidR="00765BA7">
        <w:rPr>
          <w:rFonts w:ascii="FrankRuehl" w:hAnsi="FrankRuehl" w:cs="FrankRuehl"/>
          <w:sz w:val="28"/>
          <w:szCs w:val="28"/>
          <w:rtl/>
        </w:rPr>
        <w:t xml:space="preserve">חזקת השיתוף קמה כל עת </w:t>
      </w:r>
      <w:r>
        <w:rPr>
          <w:rFonts w:ascii="FrankRuehl" w:hAnsi="FrankRuehl" w:cs="FrankRuehl" w:hint="cs"/>
          <w:sz w:val="28"/>
          <w:szCs w:val="28"/>
          <w:rtl/>
        </w:rPr>
        <w:t>ש</w:t>
      </w:r>
      <w:r w:rsidR="00765BA7">
        <w:rPr>
          <w:rFonts w:ascii="FrankRuehl" w:hAnsi="FrankRuehl" w:cs="FrankRuehl"/>
          <w:sz w:val="28"/>
          <w:szCs w:val="28"/>
          <w:rtl/>
        </w:rPr>
        <w:t xml:space="preserve">בני-זוג חיים יחדיו ומקיימים משק בית משותף </w:t>
      </w:r>
      <w:r>
        <w:rPr>
          <w:rFonts w:ascii="FrankRuehl" w:hAnsi="FrankRuehl" w:cs="FrankRuehl" w:hint="cs"/>
          <w:sz w:val="28"/>
          <w:szCs w:val="28"/>
          <w:rtl/>
        </w:rPr>
        <w:t>ו</w:t>
      </w:r>
      <w:r w:rsidR="00765BA7">
        <w:rPr>
          <w:rFonts w:ascii="FrankRuehl" w:hAnsi="FrankRuehl" w:cs="FrankRuehl"/>
          <w:sz w:val="28"/>
          <w:szCs w:val="28"/>
          <w:rtl/>
        </w:rPr>
        <w:t xml:space="preserve">אין הסכם שקובע אחרת. </w:t>
      </w:r>
      <w:r w:rsidR="00787A4E">
        <w:rPr>
          <w:rFonts w:ascii="FrankRuehl" w:hAnsi="FrankRuehl" w:cs="FrankRuehl"/>
          <w:sz w:val="28"/>
          <w:szCs w:val="28"/>
          <w:rtl/>
        </w:rPr>
        <w:t>חזקה זו מכונה "חזקת השיתוף". חזקה זו ניתנת לסתירה, וכל מקרה ותא משפחתי ייבחן לנסיבותיו.</w:t>
      </w:r>
    </w:p>
    <w:p w:rsidR="00765BA7" w:rsidRDefault="00765BA7" w:rsidP="005E4FB2">
      <w:pPr>
        <w:spacing w:line="360" w:lineRule="auto"/>
        <w:ind w:left="720" w:hanging="720"/>
        <w:jc w:val="both"/>
        <w:rPr>
          <w:rFonts w:ascii="FrankRuehl" w:hAnsi="FrankRuehl" w:cs="FrankRuehl"/>
          <w:sz w:val="28"/>
          <w:szCs w:val="28"/>
          <w:rtl/>
        </w:rPr>
      </w:pPr>
      <w:r>
        <w:rPr>
          <w:rFonts w:ascii="FrankRuehl" w:hAnsi="FrankRuehl" w:cs="FrankRuehl"/>
          <w:sz w:val="28"/>
          <w:szCs w:val="28"/>
          <w:rtl/>
        </w:rPr>
        <w:lastRenderedPageBreak/>
        <w:t>21.</w:t>
      </w:r>
      <w:r>
        <w:rPr>
          <w:rFonts w:ascii="FrankRuehl" w:hAnsi="FrankRuehl" w:cs="FrankRuehl"/>
          <w:sz w:val="28"/>
          <w:szCs w:val="28"/>
          <w:rtl/>
        </w:rPr>
        <w:tab/>
      </w:r>
      <w:r>
        <w:rPr>
          <w:rFonts w:ascii="FrankRuehl" w:hAnsi="FrankRuehl" w:cs="FrankRuehl"/>
          <w:b/>
          <w:bCs/>
          <w:sz w:val="28"/>
          <w:szCs w:val="28"/>
          <w:rtl/>
        </w:rPr>
        <w:t>זכות של בן זוג מכוח הִלכת שיתוף דורשת הכרה רשמית, וכל עוד לא הוכרה</w:t>
      </w:r>
      <w:r w:rsidR="005E4FB2">
        <w:rPr>
          <w:rFonts w:ascii="FrankRuehl" w:hAnsi="FrankRuehl" w:cs="FrankRuehl" w:hint="cs"/>
          <w:b/>
          <w:bCs/>
          <w:sz w:val="28"/>
          <w:szCs w:val="28"/>
          <w:rtl/>
        </w:rPr>
        <w:t xml:space="preserve"> הזכות בהכרה רשמית</w:t>
      </w:r>
      <w:r>
        <w:rPr>
          <w:rFonts w:ascii="FrankRuehl" w:hAnsi="FrankRuehl" w:cs="FrankRuehl"/>
          <w:b/>
          <w:bCs/>
          <w:sz w:val="28"/>
          <w:szCs w:val="28"/>
          <w:rtl/>
        </w:rPr>
        <w:t xml:space="preserve">, </w:t>
      </w:r>
      <w:r w:rsidR="005E4FB2">
        <w:rPr>
          <w:rFonts w:ascii="FrankRuehl" w:hAnsi="FrankRuehl" w:cs="FrankRuehl" w:hint="cs"/>
          <w:b/>
          <w:bCs/>
          <w:sz w:val="28"/>
          <w:szCs w:val="28"/>
          <w:rtl/>
        </w:rPr>
        <w:t xml:space="preserve">הזכות מכוח הלכת השיתוף </w:t>
      </w:r>
      <w:r>
        <w:rPr>
          <w:rFonts w:ascii="FrankRuehl" w:hAnsi="FrankRuehl" w:cs="FrankRuehl"/>
          <w:b/>
          <w:bCs/>
          <w:sz w:val="28"/>
          <w:szCs w:val="28"/>
          <w:rtl/>
        </w:rPr>
        <w:t>היא זכות ערטיאלית שאי</w:t>
      </w:r>
      <w:r w:rsidR="005E4FB2">
        <w:rPr>
          <w:rFonts w:ascii="FrankRuehl" w:hAnsi="FrankRuehl" w:cs="FrankRuehl" w:hint="cs"/>
          <w:b/>
          <w:bCs/>
          <w:sz w:val="28"/>
          <w:szCs w:val="28"/>
          <w:rtl/>
        </w:rPr>
        <w:t xml:space="preserve">נה </w:t>
      </w:r>
      <w:r>
        <w:rPr>
          <w:rFonts w:ascii="FrankRuehl" w:hAnsi="FrankRuehl" w:cs="FrankRuehl"/>
          <w:b/>
          <w:bCs/>
          <w:sz w:val="28"/>
          <w:szCs w:val="28"/>
          <w:rtl/>
        </w:rPr>
        <w:t>ס</w:t>
      </w:r>
      <w:r w:rsidR="005E4FB2">
        <w:rPr>
          <w:rFonts w:ascii="FrankRuehl" w:hAnsi="FrankRuehl" w:cs="FrankRuehl" w:hint="cs"/>
          <w:b/>
          <w:bCs/>
          <w:sz w:val="28"/>
          <w:szCs w:val="28"/>
          <w:rtl/>
        </w:rPr>
        <w:t xml:space="preserve">ותרת </w:t>
      </w:r>
      <w:r>
        <w:rPr>
          <w:rFonts w:ascii="FrankRuehl" w:hAnsi="FrankRuehl" w:cs="FrankRuehl"/>
          <w:b/>
          <w:bCs/>
          <w:sz w:val="28"/>
          <w:szCs w:val="28"/>
          <w:rtl/>
        </w:rPr>
        <w:t>את רישום הבעלות על שם בן זוג שרשום או את חזקתו בנכס.</w:t>
      </w:r>
    </w:p>
    <w:p w:rsidR="00765BA7" w:rsidRDefault="00765BA7" w:rsidP="00765BA7">
      <w:pPr>
        <w:spacing w:line="360" w:lineRule="auto"/>
        <w:jc w:val="both"/>
        <w:rPr>
          <w:rFonts w:ascii="FrankRuehl" w:hAnsi="FrankRuehl" w:cs="FrankRuehl"/>
          <w:sz w:val="28"/>
          <w:szCs w:val="28"/>
          <w:rtl/>
        </w:rPr>
      </w:pPr>
    </w:p>
    <w:p w:rsidR="00765BA7" w:rsidRDefault="00765BA7" w:rsidP="006F2E65">
      <w:pPr>
        <w:spacing w:line="360" w:lineRule="auto"/>
        <w:ind w:left="720"/>
        <w:jc w:val="both"/>
        <w:rPr>
          <w:rFonts w:ascii="FrankRuehl" w:hAnsi="FrankRuehl" w:cs="FrankRuehl"/>
          <w:sz w:val="28"/>
          <w:szCs w:val="28"/>
          <w:rtl/>
        </w:rPr>
      </w:pPr>
      <w:r>
        <w:rPr>
          <w:rFonts w:ascii="FrankRuehl" w:hAnsi="FrankRuehl" w:cs="FrankRuehl"/>
          <w:sz w:val="28"/>
          <w:szCs w:val="28"/>
          <w:rtl/>
        </w:rPr>
        <w:t xml:space="preserve">נפסק כי יש לאפשר לבן הזוג שאינו רשום כבעל זכות בנכסים, לעמוד על זכותו ולבקש מימושהּ גם אם הדרישה הועלתה לראשונה שנים רבות לאחר היווצרות השיתוף מאחר וחלוף השנים כשלעצמו, אינו מעיד על ויתור זכויות הקיימות מכוח הִלכת השיתוף של בן הזוג שאינו רשום. חלוף השנים לגיטימי. ראו ע"א 177/87 </w:t>
      </w:r>
      <w:r>
        <w:rPr>
          <w:rFonts w:ascii="FrankRuehl" w:hAnsi="FrankRuehl" w:cs="FrankRuehl"/>
          <w:b/>
          <w:bCs/>
          <w:sz w:val="28"/>
          <w:szCs w:val="28"/>
          <w:rtl/>
        </w:rPr>
        <w:t xml:space="preserve">וינפלד נ' מנהל מס שבח מקרקעין נתניה, </w:t>
      </w:r>
      <w:r>
        <w:rPr>
          <w:rFonts w:ascii="FrankRuehl" w:hAnsi="FrankRuehl" w:cs="FrankRuehl"/>
          <w:sz w:val="28"/>
          <w:szCs w:val="28"/>
          <w:rtl/>
        </w:rPr>
        <w:t>מד</w:t>
      </w:r>
      <w:r w:rsidR="006F2E65">
        <w:rPr>
          <w:rFonts w:ascii="FrankRuehl" w:hAnsi="FrankRuehl" w:cs="FrankRuehl"/>
          <w:sz w:val="28"/>
          <w:szCs w:val="28"/>
          <w:rtl/>
        </w:rPr>
        <w:t xml:space="preserve">(4) 607, 611 מיום 15/11/1990. </w:t>
      </w:r>
      <w:r w:rsidR="006F2E65">
        <w:rPr>
          <w:rFonts w:ascii="FrankRuehl" w:hAnsi="FrankRuehl" w:cs="FrankRuehl" w:hint="cs"/>
          <w:sz w:val="28"/>
          <w:szCs w:val="28"/>
          <w:rtl/>
        </w:rPr>
        <w:t>ה</w:t>
      </w:r>
      <w:r>
        <w:rPr>
          <w:rFonts w:ascii="FrankRuehl" w:hAnsi="FrankRuehl" w:cs="FrankRuehl"/>
          <w:sz w:val="28"/>
          <w:szCs w:val="28"/>
          <w:rtl/>
        </w:rPr>
        <w:t xml:space="preserve">לכה זו סויגה </w:t>
      </w:r>
      <w:r w:rsidR="006F2E65">
        <w:rPr>
          <w:rFonts w:ascii="FrankRuehl" w:hAnsi="FrankRuehl" w:cs="FrankRuehl" w:hint="cs"/>
          <w:sz w:val="28"/>
          <w:szCs w:val="28"/>
          <w:rtl/>
        </w:rPr>
        <w:t xml:space="preserve">לכך </w:t>
      </w:r>
      <w:r>
        <w:rPr>
          <w:rFonts w:ascii="FrankRuehl" w:hAnsi="FrankRuehl" w:cs="FrankRuehl"/>
          <w:sz w:val="28"/>
          <w:szCs w:val="28"/>
          <w:rtl/>
        </w:rPr>
        <w:t xml:space="preserve">שבן-זוג שאינו רשום ישן על זכויותיו </w:t>
      </w:r>
      <w:r w:rsidR="006F2E65">
        <w:rPr>
          <w:rFonts w:ascii="FrankRuehl" w:hAnsi="FrankRuehl" w:cs="FrankRuehl" w:hint="cs"/>
          <w:sz w:val="28"/>
          <w:szCs w:val="28"/>
          <w:rtl/>
        </w:rPr>
        <w:t xml:space="preserve">ולכן יוחזק כמי שוויתר וכך גם אם </w:t>
      </w:r>
      <w:r>
        <w:rPr>
          <w:rFonts w:ascii="FrankRuehl" w:hAnsi="FrankRuehl" w:cs="FrankRuehl"/>
          <w:sz w:val="28"/>
          <w:szCs w:val="28"/>
          <w:rtl/>
        </w:rPr>
        <w:t>עלולות להיפגע זכויות צד ג'.</w:t>
      </w:r>
    </w:p>
    <w:p w:rsidR="00765BA7" w:rsidRDefault="00765BA7" w:rsidP="00765BA7">
      <w:pPr>
        <w:spacing w:line="360" w:lineRule="auto"/>
        <w:jc w:val="both"/>
        <w:rPr>
          <w:rFonts w:ascii="FrankRuehl" w:hAnsi="FrankRuehl" w:cs="FrankRuehl"/>
          <w:sz w:val="28"/>
          <w:szCs w:val="28"/>
          <w:rtl/>
        </w:rPr>
      </w:pPr>
    </w:p>
    <w:p w:rsidR="00765BA7" w:rsidRDefault="00765BA7" w:rsidP="00ED0789">
      <w:pPr>
        <w:spacing w:line="360" w:lineRule="auto"/>
        <w:ind w:left="720" w:hanging="720"/>
        <w:jc w:val="both"/>
        <w:rPr>
          <w:rFonts w:ascii="FrankRuehl" w:hAnsi="FrankRuehl" w:cs="FrankRuehl"/>
          <w:sz w:val="28"/>
          <w:szCs w:val="28"/>
          <w:rtl/>
        </w:rPr>
      </w:pPr>
      <w:r>
        <w:rPr>
          <w:rFonts w:ascii="FrankRuehl" w:hAnsi="FrankRuehl" w:cs="FrankRuehl"/>
          <w:sz w:val="28"/>
          <w:szCs w:val="28"/>
          <w:rtl/>
        </w:rPr>
        <w:t>22.</w:t>
      </w:r>
      <w:r>
        <w:rPr>
          <w:rFonts w:ascii="FrankRuehl" w:hAnsi="FrankRuehl" w:cs="FrankRuehl"/>
          <w:sz w:val="28"/>
          <w:szCs w:val="28"/>
          <w:rtl/>
        </w:rPr>
        <w:tab/>
      </w:r>
      <w:r>
        <w:rPr>
          <w:rFonts w:ascii="FrankRuehl" w:hAnsi="FrankRuehl" w:cs="FrankRuehl"/>
          <w:b/>
          <w:bCs/>
          <w:sz w:val="28"/>
          <w:szCs w:val="28"/>
          <w:u w:val="single"/>
          <w:rtl/>
        </w:rPr>
        <w:t>אשר ליורשי בן-זוג שאינו רשום ושהלך לעולמו</w:t>
      </w:r>
      <w:r>
        <w:rPr>
          <w:rFonts w:ascii="FrankRuehl" w:hAnsi="FrankRuehl" w:cs="FrankRuehl"/>
          <w:b/>
          <w:bCs/>
          <w:sz w:val="28"/>
          <w:szCs w:val="28"/>
          <w:rtl/>
        </w:rPr>
        <w:t>,</w:t>
      </w:r>
      <w:r>
        <w:rPr>
          <w:rFonts w:ascii="FrankRuehl" w:hAnsi="FrankRuehl" w:cs="FrankRuehl"/>
          <w:sz w:val="28"/>
          <w:szCs w:val="28"/>
          <w:rtl/>
        </w:rPr>
        <w:t xml:space="preserve"> נפסק כי אין מניעה עקרונית כי יורשי בן זוג שאינו רשום יתבעו את חלקו של בן-זוג שאינו רשום ושהלך לעולמו מכוח הִלכת שיתוף (כחלק מעִזבונו) </w:t>
      </w:r>
      <w:r>
        <w:rPr>
          <w:rFonts w:ascii="FrankRuehl" w:hAnsi="FrankRuehl" w:cs="FrankRuehl"/>
          <w:b/>
          <w:bCs/>
          <w:sz w:val="28"/>
          <w:szCs w:val="28"/>
          <w:rtl/>
        </w:rPr>
        <w:t>אלא אם בן הזוג שאינו רשום והלך לעולמו לא ויתר על זכות זו</w:t>
      </w:r>
      <w:r>
        <w:rPr>
          <w:rFonts w:ascii="FrankRuehl" w:hAnsi="FrankRuehl" w:cs="FrankRuehl"/>
          <w:sz w:val="28"/>
          <w:szCs w:val="28"/>
          <w:rtl/>
        </w:rPr>
        <w:t xml:space="preserve">. ראו ע"א 5774/91 </w:t>
      </w:r>
      <w:r>
        <w:rPr>
          <w:rFonts w:ascii="FrankRuehl" w:hAnsi="FrankRuehl" w:cs="FrankRuehl"/>
          <w:b/>
          <w:bCs/>
          <w:sz w:val="28"/>
          <w:szCs w:val="28"/>
          <w:rtl/>
        </w:rPr>
        <w:t>יהלום</w:t>
      </w:r>
      <w:r>
        <w:rPr>
          <w:rFonts w:ascii="FrankRuehl" w:hAnsi="FrankRuehl" w:cs="FrankRuehl"/>
          <w:sz w:val="28"/>
          <w:szCs w:val="28"/>
          <w:rtl/>
        </w:rPr>
        <w:t xml:space="preserve"> </w:t>
      </w:r>
      <w:r>
        <w:rPr>
          <w:rFonts w:ascii="FrankRuehl" w:hAnsi="FrankRuehl" w:cs="FrankRuehl"/>
          <w:b/>
          <w:bCs/>
          <w:sz w:val="28"/>
          <w:szCs w:val="28"/>
          <w:rtl/>
        </w:rPr>
        <w:t>נ' מנהל מס שבח מקרקעין,</w:t>
      </w:r>
      <w:r>
        <w:rPr>
          <w:rFonts w:ascii="FrankRuehl" w:hAnsi="FrankRuehl" w:cs="FrankRuehl"/>
          <w:sz w:val="28"/>
          <w:szCs w:val="28"/>
          <w:rtl/>
        </w:rPr>
        <w:t xml:space="preserve"> מח(3) 372 פסקאות 16-21 לפסה"ד מיום 02.06.1994.</w:t>
      </w:r>
      <w:r w:rsidR="00ED0789">
        <w:rPr>
          <w:rFonts w:ascii="FrankRuehl" w:hAnsi="FrankRuehl" w:cs="FrankRuehl" w:hint="cs"/>
          <w:sz w:val="28"/>
          <w:szCs w:val="28"/>
          <w:rtl/>
        </w:rPr>
        <w:t xml:space="preserve">  </w:t>
      </w:r>
      <w:r>
        <w:rPr>
          <w:rFonts w:ascii="FrankRuehl" w:hAnsi="FrankRuehl" w:cs="FrankRuehl"/>
          <w:sz w:val="28"/>
          <w:szCs w:val="28"/>
          <w:rtl/>
        </w:rPr>
        <w:t xml:space="preserve">ומתי ייקבע כי ויתר? </w:t>
      </w:r>
    </w:p>
    <w:p w:rsidR="00ED0789" w:rsidRDefault="00ED0789" w:rsidP="00ED0789">
      <w:pPr>
        <w:spacing w:line="360" w:lineRule="auto"/>
        <w:ind w:left="720" w:hanging="720"/>
        <w:jc w:val="both"/>
        <w:rPr>
          <w:rFonts w:ascii="FrankRuehl" w:hAnsi="FrankRuehl" w:cs="FrankRuehl"/>
          <w:sz w:val="28"/>
          <w:szCs w:val="28"/>
          <w:rtl/>
        </w:rPr>
      </w:pPr>
    </w:p>
    <w:p w:rsidR="00765BA7" w:rsidRDefault="00765BA7" w:rsidP="009402AC">
      <w:pPr>
        <w:spacing w:line="360" w:lineRule="auto"/>
        <w:ind w:left="720"/>
        <w:jc w:val="both"/>
        <w:rPr>
          <w:rFonts w:ascii="FrankRuehl" w:hAnsi="FrankRuehl" w:cs="FrankRuehl"/>
          <w:sz w:val="28"/>
          <w:szCs w:val="28"/>
          <w:rtl/>
        </w:rPr>
      </w:pPr>
      <w:r>
        <w:rPr>
          <w:rFonts w:ascii="FrankRuehl" w:hAnsi="FrankRuehl" w:cs="FrankRuehl"/>
          <w:sz w:val="28"/>
          <w:szCs w:val="28"/>
          <w:rtl/>
        </w:rPr>
        <w:t>נאמר שם, בפסקה 21 לפסה"ד, כי אם לבן-זוג שאינו רשום והלך לעולמו הייתה אפשרות סבירה לממש זכותו לשיתוף נטען בנכסים או לבחור לטעון לשיתוף בנכסים, ו</w:t>
      </w:r>
      <w:r w:rsidR="00996659">
        <w:rPr>
          <w:rFonts w:ascii="FrankRuehl" w:hAnsi="FrankRuehl" w:cs="FrankRuehl" w:hint="cs"/>
          <w:sz w:val="28"/>
          <w:szCs w:val="28"/>
          <w:rtl/>
        </w:rPr>
        <w:t>בן הזוג שאינ</w:t>
      </w:r>
      <w:r w:rsidR="009402AC">
        <w:rPr>
          <w:rFonts w:ascii="FrankRuehl" w:hAnsi="FrankRuehl" w:cs="FrankRuehl" w:hint="cs"/>
          <w:sz w:val="28"/>
          <w:szCs w:val="28"/>
          <w:rtl/>
        </w:rPr>
        <w:t xml:space="preserve">ו רשום </w:t>
      </w:r>
      <w:r>
        <w:rPr>
          <w:rFonts w:ascii="FrankRuehl" w:hAnsi="FrankRuehl" w:cs="FrankRuehl"/>
          <w:sz w:val="28"/>
          <w:szCs w:val="28"/>
          <w:rtl/>
        </w:rPr>
        <w:t>נמנע מלעשות כן - יש לראות</w:t>
      </w:r>
      <w:r w:rsidR="009402AC">
        <w:rPr>
          <w:rFonts w:ascii="FrankRuehl" w:hAnsi="FrankRuehl" w:cs="FrankRuehl" w:hint="cs"/>
          <w:sz w:val="28"/>
          <w:szCs w:val="28"/>
          <w:rtl/>
        </w:rPr>
        <w:t xml:space="preserve"> את בן הזוג שאינו רשום </w:t>
      </w:r>
      <w:r>
        <w:rPr>
          <w:rFonts w:ascii="FrankRuehl" w:hAnsi="FrankRuehl" w:cs="FrankRuehl"/>
          <w:sz w:val="28"/>
          <w:szCs w:val="28"/>
          <w:rtl/>
        </w:rPr>
        <w:t>כמי שויתר על זכותו. בהתאמה, יורשיו מנועים מכוח ויתורו לטעון לשיתוף.</w:t>
      </w:r>
    </w:p>
    <w:p w:rsidR="00765BA7" w:rsidRDefault="00765BA7" w:rsidP="00765BA7">
      <w:pPr>
        <w:spacing w:line="360" w:lineRule="auto"/>
        <w:jc w:val="both"/>
        <w:rPr>
          <w:rFonts w:ascii="FrankRuehl" w:hAnsi="FrankRuehl" w:cs="FrankRuehl"/>
          <w:sz w:val="28"/>
          <w:szCs w:val="28"/>
          <w:rtl/>
        </w:rPr>
      </w:pPr>
    </w:p>
    <w:p w:rsidR="00ED0789" w:rsidRDefault="00765BA7" w:rsidP="00A71EBE">
      <w:pPr>
        <w:spacing w:line="360" w:lineRule="auto"/>
        <w:ind w:left="720" w:hanging="720"/>
        <w:jc w:val="both"/>
        <w:rPr>
          <w:rFonts w:ascii="FrankRuehl" w:hAnsi="FrankRuehl" w:cs="FrankRuehl"/>
          <w:b/>
          <w:bCs/>
          <w:sz w:val="28"/>
          <w:szCs w:val="28"/>
          <w:rtl/>
        </w:rPr>
      </w:pPr>
      <w:r>
        <w:rPr>
          <w:rFonts w:ascii="FrankRuehl" w:hAnsi="FrankRuehl" w:cs="FrankRuehl"/>
          <w:sz w:val="28"/>
          <w:szCs w:val="28"/>
          <w:rtl/>
        </w:rPr>
        <w:t>23.</w:t>
      </w:r>
      <w:r>
        <w:rPr>
          <w:rFonts w:ascii="FrankRuehl" w:hAnsi="FrankRuehl" w:cs="FrankRuehl"/>
          <w:sz w:val="28"/>
          <w:szCs w:val="28"/>
          <w:rtl/>
        </w:rPr>
        <w:tab/>
      </w:r>
      <w:r>
        <w:rPr>
          <w:rFonts w:ascii="FrankRuehl" w:hAnsi="FrankRuehl" w:cs="FrankRuehl"/>
          <w:b/>
          <w:bCs/>
          <w:sz w:val="28"/>
          <w:szCs w:val="28"/>
          <w:rtl/>
        </w:rPr>
        <w:t xml:space="preserve">לטעמי זהו המקרה כאן. </w:t>
      </w:r>
    </w:p>
    <w:p w:rsidR="00ED0789" w:rsidRDefault="00765BA7" w:rsidP="00ED0789">
      <w:pPr>
        <w:spacing w:line="360" w:lineRule="auto"/>
        <w:ind w:left="720"/>
        <w:jc w:val="both"/>
        <w:rPr>
          <w:rFonts w:ascii="FrankRuehl" w:hAnsi="FrankRuehl" w:cs="FrankRuehl"/>
          <w:sz w:val="28"/>
          <w:szCs w:val="28"/>
          <w:rtl/>
        </w:rPr>
      </w:pPr>
      <w:r>
        <w:rPr>
          <w:rFonts w:ascii="FrankRuehl" w:hAnsi="FrankRuehl" w:cs="FrankRuehl"/>
          <w:b/>
          <w:bCs/>
          <w:sz w:val="28"/>
          <w:szCs w:val="28"/>
          <w:rtl/>
        </w:rPr>
        <w:t>לאֵם המנוחה הזדמנות סבירה לפעול למימוש זכותה והיא לא עשתה כן.</w:t>
      </w:r>
      <w:r w:rsidR="00A71EBE">
        <w:rPr>
          <w:rFonts w:ascii="FrankRuehl" w:hAnsi="FrankRuehl" w:cs="FrankRuehl" w:hint="cs"/>
          <w:sz w:val="28"/>
          <w:szCs w:val="28"/>
          <w:rtl/>
        </w:rPr>
        <w:t xml:space="preserve"> </w:t>
      </w:r>
    </w:p>
    <w:p w:rsidR="0064040A" w:rsidRDefault="0064040A" w:rsidP="00ED0789">
      <w:pPr>
        <w:spacing w:line="360" w:lineRule="auto"/>
        <w:ind w:left="720"/>
        <w:jc w:val="both"/>
        <w:rPr>
          <w:rFonts w:ascii="FrankRuehl" w:hAnsi="FrankRuehl" w:cs="FrankRuehl"/>
          <w:sz w:val="28"/>
          <w:szCs w:val="28"/>
          <w:rtl/>
        </w:rPr>
      </w:pPr>
    </w:p>
    <w:p w:rsidR="00B96E2B" w:rsidRDefault="00765BA7" w:rsidP="00ED0789">
      <w:pPr>
        <w:spacing w:line="360" w:lineRule="auto"/>
        <w:ind w:left="720"/>
        <w:jc w:val="both"/>
        <w:rPr>
          <w:rFonts w:ascii="FrankRuehl" w:hAnsi="FrankRuehl" w:cs="FrankRuehl"/>
          <w:b/>
          <w:bCs/>
          <w:sz w:val="28"/>
          <w:szCs w:val="28"/>
          <w:rtl/>
        </w:rPr>
      </w:pPr>
      <w:r w:rsidRPr="00A71EBE">
        <w:rPr>
          <w:rFonts w:ascii="FrankRuehl" w:hAnsi="FrankRuehl" w:cs="FrankRuehl"/>
          <w:b/>
          <w:bCs/>
          <w:sz w:val="28"/>
          <w:szCs w:val="28"/>
          <w:rtl/>
        </w:rPr>
        <w:t xml:space="preserve">לא זו אף זו אלא שבפועל, הצדדים עצמם, יחד עם האֵם המנוחה, הביעו דעתם כי האֵם המנוחה ויתרה על זכותה לתבוע החלה של הִלכת השיתוף. </w:t>
      </w:r>
    </w:p>
    <w:p w:rsidR="0064040A" w:rsidRDefault="0064040A" w:rsidP="00ED0789">
      <w:pPr>
        <w:spacing w:line="360" w:lineRule="auto"/>
        <w:ind w:left="720"/>
        <w:jc w:val="both"/>
        <w:rPr>
          <w:rFonts w:ascii="FrankRuehl" w:hAnsi="FrankRuehl" w:cs="FrankRuehl"/>
          <w:sz w:val="28"/>
          <w:szCs w:val="28"/>
          <w:rtl/>
        </w:rPr>
      </w:pPr>
    </w:p>
    <w:p w:rsidR="0064040A" w:rsidRDefault="0064040A" w:rsidP="00ED0789">
      <w:pPr>
        <w:spacing w:line="360" w:lineRule="auto"/>
        <w:ind w:left="720"/>
        <w:jc w:val="both"/>
        <w:rPr>
          <w:rFonts w:ascii="FrankRuehl" w:hAnsi="FrankRuehl" w:cs="FrankRuehl"/>
          <w:sz w:val="28"/>
          <w:szCs w:val="28"/>
          <w:rtl/>
        </w:rPr>
      </w:pPr>
    </w:p>
    <w:p w:rsidR="00765BA7" w:rsidRDefault="00765BA7" w:rsidP="00ED0789">
      <w:pPr>
        <w:spacing w:line="360" w:lineRule="auto"/>
        <w:ind w:left="720"/>
        <w:jc w:val="both"/>
        <w:rPr>
          <w:rFonts w:ascii="FrankRuehl" w:hAnsi="FrankRuehl" w:cs="FrankRuehl"/>
          <w:sz w:val="28"/>
          <w:szCs w:val="28"/>
          <w:rtl/>
        </w:rPr>
      </w:pPr>
      <w:r>
        <w:rPr>
          <w:rFonts w:ascii="FrankRuehl" w:hAnsi="FrankRuehl" w:cs="FrankRuehl"/>
          <w:sz w:val="28"/>
          <w:szCs w:val="28"/>
          <w:rtl/>
        </w:rPr>
        <w:lastRenderedPageBreak/>
        <w:t>ויתור האֵם המנוחה בא לידי ביטוי בשתי הזדמנויות:</w:t>
      </w:r>
    </w:p>
    <w:p w:rsidR="00765BA7" w:rsidRDefault="00765BA7" w:rsidP="00765BA7">
      <w:pPr>
        <w:spacing w:line="360" w:lineRule="auto"/>
        <w:jc w:val="both"/>
        <w:rPr>
          <w:rFonts w:ascii="FrankRuehl" w:hAnsi="FrankRuehl" w:cs="FrankRuehl"/>
          <w:sz w:val="28"/>
          <w:szCs w:val="28"/>
          <w:u w:val="single"/>
          <w:rtl/>
        </w:rPr>
      </w:pPr>
    </w:p>
    <w:p w:rsidR="00765BA7" w:rsidRDefault="00765BA7" w:rsidP="00B96E2B">
      <w:pPr>
        <w:spacing w:line="360" w:lineRule="auto"/>
        <w:ind w:left="720"/>
        <w:jc w:val="both"/>
        <w:rPr>
          <w:rFonts w:ascii="FrankRuehl" w:hAnsi="FrankRuehl" w:cs="FrankRuehl"/>
          <w:sz w:val="28"/>
          <w:szCs w:val="28"/>
          <w:rtl/>
        </w:rPr>
      </w:pPr>
      <w:r>
        <w:rPr>
          <w:rFonts w:ascii="FrankRuehl" w:hAnsi="FrankRuehl" w:cs="FrankRuehl"/>
          <w:sz w:val="28"/>
          <w:szCs w:val="28"/>
          <w:u w:val="single"/>
          <w:rtl/>
        </w:rPr>
        <w:t>האחת</w:t>
      </w:r>
      <w:r>
        <w:rPr>
          <w:rFonts w:ascii="FrankRuehl" w:hAnsi="FrankRuehl" w:cs="FrankRuehl"/>
          <w:sz w:val="28"/>
          <w:szCs w:val="28"/>
          <w:rtl/>
        </w:rPr>
        <w:t xml:space="preserve">, סמוך לאחר מתן צו קיום לצוואת האב המנוח, שאז, האֵם המנוחה </w:t>
      </w:r>
      <w:r w:rsidR="00B96E2B">
        <w:rPr>
          <w:rFonts w:ascii="FrankRuehl" w:hAnsi="FrankRuehl" w:cs="FrankRuehl" w:hint="cs"/>
          <w:sz w:val="28"/>
          <w:szCs w:val="28"/>
          <w:rtl/>
        </w:rPr>
        <w:t xml:space="preserve">לא ביקשה </w:t>
      </w:r>
      <w:r>
        <w:rPr>
          <w:rFonts w:ascii="FrankRuehl" w:hAnsi="FrankRuehl" w:cs="FrankRuehl"/>
          <w:sz w:val="28"/>
          <w:szCs w:val="28"/>
          <w:rtl/>
        </w:rPr>
        <w:t>להפריד את הכספים בחשבונות הבנק שהתנהלו על שם המנוח, חרף כי פעלו לחַלק מתוך כספי עִזבון האב המנוח ביניהם</w:t>
      </w:r>
      <w:r>
        <w:rPr>
          <w:rFonts w:ascii="FrankRuehl" w:hAnsi="FrankRuehl" w:cs="FrankRuehl"/>
          <w:b/>
          <w:bCs/>
          <w:sz w:val="28"/>
          <w:szCs w:val="28"/>
          <w:rtl/>
        </w:rPr>
        <w:t xml:space="preserve">, ולא ערכו חישוב חלוקה לפי 1/8 לכל אחד מהבנים ו-5/8 לאֵם המנוחה. </w:t>
      </w:r>
      <w:r>
        <w:rPr>
          <w:rFonts w:ascii="FrankRuehl" w:hAnsi="FrankRuehl" w:cs="FrankRuehl"/>
          <w:sz w:val="28"/>
          <w:szCs w:val="28"/>
          <w:rtl/>
        </w:rPr>
        <w:t xml:space="preserve">ראו בהקשר לכך בע"מ 5474/17 </w:t>
      </w:r>
      <w:r>
        <w:rPr>
          <w:rFonts w:ascii="FrankRuehl" w:hAnsi="FrankRuehl" w:cs="FrankRuehl"/>
          <w:b/>
          <w:bCs/>
          <w:sz w:val="28"/>
          <w:szCs w:val="28"/>
          <w:rtl/>
        </w:rPr>
        <w:t xml:space="preserve">פלונית נ' פלוני ואח' </w:t>
      </w:r>
      <w:r>
        <w:rPr>
          <w:rFonts w:ascii="FrankRuehl" w:hAnsi="FrankRuehl" w:cs="FrankRuehl"/>
          <w:sz w:val="28"/>
          <w:szCs w:val="28"/>
          <w:rtl/>
        </w:rPr>
        <w:t xml:space="preserve">מיום 17.09.2017. בסעיף 3 שם, נקבע כי בתביעת אֵם נגד </w:t>
      </w:r>
      <w:r>
        <w:rPr>
          <w:rFonts w:ascii="FrankRuehl" w:hAnsi="FrankRuehl" w:cs="FrankRuehl"/>
          <w:color w:val="000000" w:themeColor="text1"/>
          <w:sz w:val="28"/>
          <w:szCs w:val="28"/>
          <w:rtl/>
        </w:rPr>
        <w:t>ילדיה</w:t>
      </w:r>
      <w:r>
        <w:rPr>
          <w:rFonts w:ascii="FrankRuehl" w:hAnsi="FrankRuehl" w:cs="FrankRuehl"/>
          <w:sz w:val="28"/>
          <w:szCs w:val="28"/>
          <w:rtl/>
        </w:rPr>
        <w:t>, האֵם ויתרה על חלקה מכוח הִלכת שיתוף, בין היתר מאחר ועל אף כי ידעה על קיומה של צוואה לאורך שנים, האֵם לא התנגדה לקיומה ולא סיפקה הסבר מספק לכך שקיימה את הצוואה כלשונהּ ללא התנגדות לחלוקה.</w:t>
      </w:r>
    </w:p>
    <w:p w:rsidR="00765BA7" w:rsidRDefault="00765BA7" w:rsidP="00765BA7">
      <w:pPr>
        <w:spacing w:line="360" w:lineRule="auto"/>
        <w:jc w:val="both"/>
        <w:rPr>
          <w:rFonts w:ascii="FrankRuehl" w:hAnsi="FrankRuehl" w:cs="FrankRuehl"/>
          <w:sz w:val="28"/>
          <w:szCs w:val="28"/>
          <w:rtl/>
        </w:rPr>
      </w:pPr>
    </w:p>
    <w:p w:rsidR="00765BA7" w:rsidRDefault="00765BA7" w:rsidP="007B0BA8">
      <w:pPr>
        <w:spacing w:line="360" w:lineRule="auto"/>
        <w:ind w:left="720"/>
        <w:jc w:val="both"/>
        <w:rPr>
          <w:rFonts w:ascii="FrankRuehl" w:hAnsi="FrankRuehl" w:cs="FrankRuehl"/>
          <w:b/>
          <w:bCs/>
          <w:sz w:val="28"/>
          <w:szCs w:val="28"/>
          <w:rtl/>
        </w:rPr>
      </w:pPr>
      <w:r>
        <w:rPr>
          <w:rFonts w:ascii="FrankRuehl" w:hAnsi="FrankRuehl" w:cs="FrankRuehl"/>
          <w:sz w:val="28"/>
          <w:szCs w:val="28"/>
          <w:u w:val="single"/>
          <w:rtl/>
        </w:rPr>
        <w:t>והשניה</w:t>
      </w:r>
      <w:r>
        <w:rPr>
          <w:rFonts w:ascii="FrankRuehl" w:hAnsi="FrankRuehl" w:cs="FrankRuehl"/>
          <w:sz w:val="28"/>
          <w:szCs w:val="28"/>
          <w:rtl/>
        </w:rPr>
        <w:t xml:space="preserve">, עת חילקו את כספי תמורת מכירת מִגרש שמצוי היה בכפר ריינה ונכלל במסת נכסי עִזבון האב. מִגרש זה נמכר ביום 16.11.2009 ולתובע הועבר סכום בשיעור של רבע (1/4) מכספי המכר שהם כ-400,000 ₪ מתוך תמורה בסך של 1,611,200 ₪ (שווה ערך 430,000 דולר). החלוקה לארבעה חלקים קבועה בסעיף 4 לצוואת האב המנוח. </w:t>
      </w:r>
      <w:r>
        <w:rPr>
          <w:rFonts w:ascii="FrankRuehl" w:hAnsi="FrankRuehl" w:cs="FrankRuehl"/>
          <w:b/>
          <w:bCs/>
          <w:sz w:val="28"/>
          <w:szCs w:val="28"/>
          <w:rtl/>
        </w:rPr>
        <w:t>ברי כי אם האֵם המנוחה הייתה רוצה לטעון לחלקהּ מכוח הִלכת השיתוף הרי שהתמורה הייתה מתחלקת</w:t>
      </w:r>
      <w:r>
        <w:rPr>
          <w:rFonts w:ascii="FrankRuehl" w:hAnsi="FrankRuehl" w:cs="FrankRuehl"/>
          <w:b/>
          <w:bCs/>
          <w:color w:val="FF0000"/>
          <w:sz w:val="28"/>
          <w:szCs w:val="28"/>
          <w:rtl/>
        </w:rPr>
        <w:t xml:space="preserve"> </w:t>
      </w:r>
      <w:r w:rsidR="007B0BA8">
        <w:rPr>
          <w:rFonts w:ascii="FrankRuehl" w:hAnsi="FrankRuehl" w:cs="FrankRuehl" w:hint="cs"/>
          <w:b/>
          <w:bCs/>
          <w:sz w:val="28"/>
          <w:szCs w:val="28"/>
          <w:rtl/>
        </w:rPr>
        <w:t>5/8</w:t>
      </w:r>
      <w:r>
        <w:rPr>
          <w:rFonts w:ascii="FrankRuehl" w:hAnsi="FrankRuehl" w:cs="FrankRuehl"/>
          <w:b/>
          <w:bCs/>
          <w:sz w:val="28"/>
          <w:szCs w:val="28"/>
          <w:rtl/>
        </w:rPr>
        <w:t xml:space="preserve">  לאֵם המנוחה ו-1/8 לכל אחד מהבנים.</w:t>
      </w:r>
    </w:p>
    <w:p w:rsidR="007B0BA8" w:rsidRDefault="007B0BA8" w:rsidP="007B0BA8">
      <w:pPr>
        <w:spacing w:line="360" w:lineRule="auto"/>
        <w:ind w:left="720"/>
        <w:jc w:val="both"/>
        <w:rPr>
          <w:rFonts w:ascii="FrankRuehl" w:hAnsi="FrankRuehl" w:cs="FrankRuehl"/>
          <w:sz w:val="28"/>
          <w:szCs w:val="28"/>
          <w:rtl/>
        </w:rPr>
      </w:pPr>
    </w:p>
    <w:p w:rsidR="002B12E0" w:rsidRDefault="00765BA7" w:rsidP="002B12E0">
      <w:pPr>
        <w:spacing w:line="360" w:lineRule="auto"/>
        <w:ind w:left="720"/>
        <w:jc w:val="both"/>
        <w:rPr>
          <w:rFonts w:ascii="FrankRuehl" w:hAnsi="FrankRuehl" w:cs="FrankRuehl"/>
          <w:sz w:val="28"/>
          <w:szCs w:val="28"/>
          <w:rtl/>
        </w:rPr>
      </w:pPr>
      <w:r>
        <w:rPr>
          <w:rFonts w:ascii="FrankRuehl" w:hAnsi="FrankRuehl" w:cs="FrankRuehl"/>
          <w:sz w:val="28"/>
          <w:szCs w:val="28"/>
          <w:rtl/>
        </w:rPr>
        <w:t>ראו בהקשר זה עדות נתבע 2, בעמוד 92 שורה 20</w:t>
      </w:r>
      <w:r w:rsidR="002B12E0">
        <w:rPr>
          <w:rFonts w:ascii="FrankRuehl" w:hAnsi="FrankRuehl" w:cs="FrankRuehl" w:hint="cs"/>
          <w:sz w:val="28"/>
          <w:szCs w:val="28"/>
          <w:rtl/>
        </w:rPr>
        <w:t xml:space="preserve"> לפרוטוקול המתומלל</w:t>
      </w:r>
      <w:r>
        <w:rPr>
          <w:rFonts w:ascii="FrankRuehl" w:hAnsi="FrankRuehl" w:cs="FrankRuehl"/>
          <w:sz w:val="28"/>
          <w:szCs w:val="28"/>
          <w:rtl/>
        </w:rPr>
        <w:t>, שם אישר כי הפקיד את התמורה לחשבון האֵם המנוחה. אין מחלוקת כי מתוך תמורה זו הועברו לתובע כ-400,000 ₪. ראו עדותו בעמוד 60 שורות 13-17</w:t>
      </w:r>
      <w:r w:rsidR="002B12E0">
        <w:rPr>
          <w:rFonts w:ascii="FrankRuehl" w:hAnsi="FrankRuehl" w:cs="FrankRuehl" w:hint="cs"/>
          <w:sz w:val="28"/>
          <w:szCs w:val="28"/>
          <w:rtl/>
        </w:rPr>
        <w:t xml:space="preserve"> לפרוטוקול המתומלל</w:t>
      </w:r>
      <w:r>
        <w:rPr>
          <w:rFonts w:ascii="FrankRuehl" w:hAnsi="FrankRuehl" w:cs="FrankRuehl"/>
          <w:sz w:val="28"/>
          <w:szCs w:val="28"/>
          <w:rtl/>
        </w:rPr>
        <w:t>, סכום המה</w:t>
      </w:r>
      <w:r w:rsidR="002B12E0">
        <w:rPr>
          <w:rFonts w:ascii="FrankRuehl" w:hAnsi="FrankRuehl" w:cs="FrankRuehl"/>
          <w:sz w:val="28"/>
          <w:szCs w:val="28"/>
          <w:rtl/>
        </w:rPr>
        <w:t>ווה כ-1/4 מהתמורה (1,611,200 ₪)</w:t>
      </w:r>
      <w:r w:rsidR="002B12E0">
        <w:rPr>
          <w:rFonts w:ascii="FrankRuehl" w:hAnsi="FrankRuehl" w:cs="FrankRuehl" w:hint="cs"/>
          <w:sz w:val="28"/>
          <w:szCs w:val="28"/>
          <w:rtl/>
        </w:rPr>
        <w:t xml:space="preserve">, </w:t>
      </w:r>
      <w:r>
        <w:rPr>
          <w:rFonts w:ascii="FrankRuehl" w:hAnsi="FrankRuehl" w:cs="FrankRuehl"/>
          <w:sz w:val="28"/>
          <w:szCs w:val="28"/>
          <w:rtl/>
        </w:rPr>
        <w:t xml:space="preserve">עִסקת המכר הייתה עסקת נטו כפי שהעיד נתבע 1 בעמוד 68 שורות 14-22 </w:t>
      </w:r>
      <w:r w:rsidR="002B12E0">
        <w:rPr>
          <w:rFonts w:ascii="FrankRuehl" w:hAnsi="FrankRuehl" w:cs="FrankRuehl" w:hint="cs"/>
          <w:sz w:val="28"/>
          <w:szCs w:val="28"/>
          <w:rtl/>
        </w:rPr>
        <w:t>לפרוטוקול המתומלל</w:t>
      </w:r>
      <w:r w:rsidR="002B12E0">
        <w:rPr>
          <w:rFonts w:ascii="FrankRuehl" w:hAnsi="FrankRuehl" w:cs="FrankRuehl"/>
          <w:sz w:val="28"/>
          <w:szCs w:val="28"/>
          <w:rtl/>
        </w:rPr>
        <w:t xml:space="preserve"> </w:t>
      </w:r>
      <w:r>
        <w:rPr>
          <w:rFonts w:ascii="FrankRuehl" w:hAnsi="FrankRuehl" w:cs="FrankRuehl"/>
          <w:sz w:val="28"/>
          <w:szCs w:val="28"/>
          <w:rtl/>
        </w:rPr>
        <w:t xml:space="preserve">(בניגוד לסעיף 8 לסיכומיו). בהקשר לחלוקה ל-4 חלקים שווים, ראו </w:t>
      </w:r>
      <w:r w:rsidR="002B12E0">
        <w:rPr>
          <w:rFonts w:ascii="FrankRuehl" w:hAnsi="FrankRuehl" w:cs="FrankRuehl" w:hint="cs"/>
          <w:sz w:val="28"/>
          <w:szCs w:val="28"/>
          <w:rtl/>
        </w:rPr>
        <w:t>גם שם ב</w:t>
      </w:r>
      <w:r>
        <w:rPr>
          <w:rFonts w:ascii="FrankRuehl" w:hAnsi="FrankRuehl" w:cs="FrankRuehl"/>
          <w:sz w:val="28"/>
          <w:szCs w:val="28"/>
          <w:rtl/>
        </w:rPr>
        <w:t>סעיף 8 לסיכומי נתבע 1</w:t>
      </w:r>
      <w:r w:rsidR="002B12E0">
        <w:rPr>
          <w:rFonts w:ascii="FrankRuehl" w:hAnsi="FrankRuehl" w:cs="FrankRuehl" w:hint="cs"/>
          <w:sz w:val="28"/>
          <w:szCs w:val="28"/>
          <w:rtl/>
        </w:rPr>
        <w:t>.</w:t>
      </w:r>
    </w:p>
    <w:p w:rsidR="002B12E0" w:rsidRDefault="002B12E0" w:rsidP="002B12E0">
      <w:pPr>
        <w:spacing w:line="360" w:lineRule="auto"/>
        <w:ind w:left="720"/>
        <w:jc w:val="both"/>
        <w:rPr>
          <w:rFonts w:ascii="FrankRuehl" w:hAnsi="FrankRuehl" w:cs="FrankRuehl"/>
          <w:sz w:val="28"/>
          <w:szCs w:val="28"/>
          <w:rtl/>
        </w:rPr>
      </w:pPr>
    </w:p>
    <w:p w:rsidR="00951115" w:rsidRDefault="00765BA7" w:rsidP="00951115">
      <w:pPr>
        <w:spacing w:line="360" w:lineRule="auto"/>
        <w:ind w:left="720" w:hanging="720"/>
        <w:jc w:val="both"/>
        <w:rPr>
          <w:rFonts w:ascii="FrankRuehl" w:hAnsi="FrankRuehl" w:cs="FrankRuehl"/>
          <w:sz w:val="28"/>
          <w:szCs w:val="28"/>
          <w:rtl/>
        </w:rPr>
      </w:pPr>
      <w:r>
        <w:rPr>
          <w:rFonts w:ascii="FrankRuehl" w:hAnsi="FrankRuehl" w:cs="FrankRuehl"/>
          <w:sz w:val="28"/>
          <w:szCs w:val="28"/>
          <w:rtl/>
        </w:rPr>
        <w:t>24.</w:t>
      </w:r>
      <w:r>
        <w:rPr>
          <w:rFonts w:ascii="FrankRuehl" w:hAnsi="FrankRuehl" w:cs="FrankRuehl"/>
          <w:sz w:val="28"/>
          <w:szCs w:val="28"/>
          <w:rtl/>
        </w:rPr>
        <w:tab/>
        <w:t xml:space="preserve">נוסף על כך, נפסק בפסה"ד בעניין ע"א 5774/91 </w:t>
      </w:r>
      <w:r>
        <w:rPr>
          <w:rFonts w:ascii="FrankRuehl" w:hAnsi="FrankRuehl" w:cs="FrankRuehl"/>
          <w:b/>
          <w:bCs/>
          <w:sz w:val="28"/>
          <w:szCs w:val="28"/>
          <w:rtl/>
        </w:rPr>
        <w:t>יהלום</w:t>
      </w:r>
      <w:r>
        <w:rPr>
          <w:rFonts w:ascii="FrankRuehl" w:hAnsi="FrankRuehl" w:cs="FrankRuehl"/>
          <w:sz w:val="28"/>
          <w:szCs w:val="28"/>
          <w:rtl/>
        </w:rPr>
        <w:t xml:space="preserve"> </w:t>
      </w:r>
      <w:r>
        <w:rPr>
          <w:rFonts w:ascii="FrankRuehl" w:hAnsi="FrankRuehl" w:cs="FrankRuehl"/>
          <w:b/>
          <w:bCs/>
          <w:sz w:val="28"/>
          <w:szCs w:val="28"/>
          <w:rtl/>
        </w:rPr>
        <w:t>נ' מנהל מס שבח מקרקעין,</w:t>
      </w:r>
      <w:r>
        <w:rPr>
          <w:rFonts w:ascii="FrankRuehl" w:hAnsi="FrankRuehl" w:cs="FrankRuehl"/>
          <w:sz w:val="28"/>
          <w:szCs w:val="28"/>
          <w:rtl/>
        </w:rPr>
        <w:t xml:space="preserve"> מח(3) 372 פסקה 24 לפסה"ד מיום 02.06.1994, כי "</w:t>
      </w:r>
      <w:r>
        <w:rPr>
          <w:rFonts w:ascii="FrankRuehl" w:hAnsi="FrankRuehl" w:cs="Miriam"/>
          <w:sz w:val="28"/>
          <w:szCs w:val="23"/>
          <w:rtl/>
        </w:rPr>
        <w:t>מוטל עלינו לתחום התימוחין ולהכריע עד כמה יש להרחיב גבולותיה של ההלכה הקיימת, היא הלכת וינפלד</w:t>
      </w:r>
      <w:r>
        <w:rPr>
          <w:rFonts w:ascii="FrankRuehl" w:hAnsi="FrankRuehl" w:cs="FrankRuehl"/>
          <w:sz w:val="28"/>
          <w:szCs w:val="28"/>
          <w:rtl/>
        </w:rPr>
        <w:t>".</w:t>
      </w:r>
      <w:r w:rsidR="00951115">
        <w:rPr>
          <w:rFonts w:ascii="FrankRuehl" w:hAnsi="FrankRuehl" w:cs="FrankRuehl" w:hint="cs"/>
          <w:sz w:val="28"/>
          <w:szCs w:val="28"/>
          <w:rtl/>
        </w:rPr>
        <w:t xml:space="preserve"> </w:t>
      </w:r>
    </w:p>
    <w:p w:rsidR="00765BA7" w:rsidRDefault="00765BA7" w:rsidP="00951115">
      <w:pPr>
        <w:spacing w:line="360" w:lineRule="auto"/>
        <w:ind w:left="720"/>
        <w:jc w:val="both"/>
        <w:rPr>
          <w:rFonts w:ascii="FrankRuehl" w:hAnsi="FrankRuehl" w:cs="FrankRuehl"/>
          <w:sz w:val="28"/>
          <w:szCs w:val="28"/>
          <w:rtl/>
        </w:rPr>
      </w:pPr>
      <w:r>
        <w:rPr>
          <w:rFonts w:ascii="FrankRuehl" w:hAnsi="FrankRuehl" w:cs="FrankRuehl"/>
          <w:sz w:val="28"/>
          <w:szCs w:val="28"/>
          <w:rtl/>
        </w:rPr>
        <w:lastRenderedPageBreak/>
        <w:t>"הלכת וינפלד"  - היא כפי שאוזכרה בסעיף 2</w:t>
      </w:r>
      <w:r w:rsidR="000E7EFC">
        <w:rPr>
          <w:rFonts w:ascii="FrankRuehl" w:hAnsi="FrankRuehl" w:cs="FrankRuehl" w:hint="cs"/>
          <w:sz w:val="28"/>
          <w:szCs w:val="28"/>
          <w:rtl/>
        </w:rPr>
        <w:t>1 לעיל</w:t>
      </w:r>
      <w:r>
        <w:rPr>
          <w:rFonts w:ascii="FrankRuehl" w:hAnsi="FrankRuehl" w:cs="FrankRuehl"/>
          <w:sz w:val="28"/>
          <w:szCs w:val="28"/>
          <w:rtl/>
        </w:rPr>
        <w:t>, הלכה פסוקה הקובעת כי חלוף השנים כשלעצמו אינו מעיד על ויתור של זכויות המגיעות מכוח הִלכת שיתוף הואיל ומטעם שלום בית, חלוף השנים לגיטמי.</w:t>
      </w:r>
    </w:p>
    <w:p w:rsidR="00765BA7" w:rsidRDefault="00765BA7" w:rsidP="00765BA7">
      <w:pPr>
        <w:spacing w:line="360" w:lineRule="auto"/>
        <w:jc w:val="both"/>
        <w:rPr>
          <w:rFonts w:ascii="FrankRuehl" w:hAnsi="FrankRuehl" w:cs="FrankRuehl"/>
          <w:sz w:val="28"/>
          <w:szCs w:val="28"/>
          <w:rtl/>
        </w:rPr>
      </w:pPr>
    </w:p>
    <w:p w:rsidR="00765BA7" w:rsidRDefault="00765BA7" w:rsidP="00765BA7">
      <w:pPr>
        <w:spacing w:line="360" w:lineRule="auto"/>
        <w:ind w:left="720" w:hanging="720"/>
        <w:jc w:val="both"/>
        <w:rPr>
          <w:rFonts w:ascii="FrankRuehl" w:hAnsi="FrankRuehl" w:cs="FrankRuehl"/>
          <w:sz w:val="28"/>
          <w:szCs w:val="28"/>
          <w:rtl/>
        </w:rPr>
      </w:pPr>
      <w:r>
        <w:rPr>
          <w:rFonts w:ascii="FrankRuehl" w:hAnsi="FrankRuehl" w:cs="FrankRuehl"/>
          <w:sz w:val="28"/>
          <w:szCs w:val="28"/>
          <w:rtl/>
        </w:rPr>
        <w:tab/>
        <w:t>בהמשך לכך נפסק שם כי מקום בו בן-זוג שאינו רשום, ניתנה לו הזדמנות סבירה להעלות טענה להחלת הִלכת השיתוף והוא נמנע מלעשות כן, מאחר ויש לראותו כמי שויתר - ביום פטירתו מתקיימת "נקודה גיאומטרית" ממנה והלאה לא ניתן יהיה להעלות את הטענה. בנימוקים שם נִמנו, בין היתר, הנימוק כי הזכות היא קודם כל לבן-זוג עצמו ובידו הבחירה אם לממשן ואם לאו ואין להעביר את זכות הבחירה ליורשיו לאחר שבחר לא לממשה; הקושי להוכיח את התנאים המקימים את חזקת השיתוף לאחר ששני בני הזוג הלכו לעולמם; העדר אפשרות לעצור את הטענה גם הלאה, היְינו לילדים, לנכדים, לנינים ואין לדבר סוף; וגם כללי ההתיישנות יחד עם האינטרס הציבורי שבית משפט ידון בבעיות הווה, היותה של הִלכת השיתוף פרי הלכה פסוקה, ועוד.</w:t>
      </w:r>
    </w:p>
    <w:p w:rsidR="00765BA7" w:rsidRDefault="00765BA7" w:rsidP="00765BA7">
      <w:pPr>
        <w:spacing w:line="360" w:lineRule="auto"/>
        <w:jc w:val="both"/>
        <w:rPr>
          <w:rFonts w:ascii="FrankRuehl" w:hAnsi="FrankRuehl" w:cs="FrankRuehl"/>
          <w:sz w:val="28"/>
          <w:szCs w:val="28"/>
          <w:rtl/>
        </w:rPr>
      </w:pPr>
    </w:p>
    <w:p w:rsidR="00765BA7" w:rsidRDefault="00765BA7" w:rsidP="00765BA7">
      <w:pPr>
        <w:spacing w:line="360" w:lineRule="auto"/>
        <w:ind w:left="720" w:hanging="720"/>
        <w:jc w:val="both"/>
        <w:rPr>
          <w:rFonts w:ascii="FrankRuehl" w:hAnsi="FrankRuehl" w:cs="FrankRuehl"/>
          <w:sz w:val="28"/>
          <w:szCs w:val="28"/>
          <w:rtl/>
        </w:rPr>
      </w:pPr>
      <w:r>
        <w:rPr>
          <w:rFonts w:ascii="FrankRuehl" w:hAnsi="FrankRuehl" w:cs="FrankRuehl"/>
          <w:sz w:val="28"/>
          <w:szCs w:val="28"/>
          <w:rtl/>
        </w:rPr>
        <w:t>25.</w:t>
      </w:r>
      <w:r>
        <w:rPr>
          <w:rFonts w:ascii="FrankRuehl" w:hAnsi="FrankRuehl" w:cs="FrankRuehl"/>
          <w:sz w:val="28"/>
          <w:szCs w:val="28"/>
          <w:rtl/>
        </w:rPr>
        <w:tab/>
      </w:r>
      <w:r>
        <w:rPr>
          <w:rFonts w:ascii="FrankRuehl" w:hAnsi="FrankRuehl" w:cs="FrankRuehl"/>
          <w:b/>
          <w:bCs/>
          <w:sz w:val="28"/>
          <w:szCs w:val="28"/>
          <w:rtl/>
        </w:rPr>
        <w:t>לטעמי, כאמור, כפי המקרה בעניין פס"ד יהלום הנ"ל, כך המקרה כאן. האֵם המנוחה נפטרה כ-10 וחצי שנים לאחר פטירת האב המנוח. במהלך כל השנים הללו לא עמדה בפניה מניעה לתבוע חלקה בנכסי העִזבון מכוח הִלכת השיתוף. האֵם המנוחה בחרה שלא לעשות כן ומעת שבחרה כך – ויתרה, ועל כן גם יורשיה מנועים מלטעון את הטענה.</w:t>
      </w:r>
    </w:p>
    <w:p w:rsidR="00765BA7" w:rsidRDefault="00765BA7" w:rsidP="00765BA7">
      <w:pPr>
        <w:spacing w:line="360" w:lineRule="auto"/>
        <w:jc w:val="both"/>
        <w:rPr>
          <w:rFonts w:ascii="FrankRuehl" w:hAnsi="FrankRuehl" w:cs="FrankRuehl"/>
          <w:sz w:val="28"/>
          <w:szCs w:val="28"/>
          <w:rtl/>
        </w:rPr>
      </w:pPr>
    </w:p>
    <w:p w:rsidR="00765BA7" w:rsidRDefault="00765BA7" w:rsidP="00765BA7">
      <w:pPr>
        <w:spacing w:line="360" w:lineRule="auto"/>
        <w:ind w:left="720" w:hanging="720"/>
        <w:jc w:val="both"/>
        <w:rPr>
          <w:rFonts w:ascii="FrankRuehl" w:hAnsi="FrankRuehl" w:cs="FrankRuehl"/>
          <w:sz w:val="28"/>
          <w:szCs w:val="28"/>
          <w:rtl/>
        </w:rPr>
      </w:pPr>
      <w:r>
        <w:rPr>
          <w:rFonts w:ascii="FrankRuehl" w:hAnsi="FrankRuehl" w:cs="FrankRuehl"/>
          <w:sz w:val="28"/>
          <w:szCs w:val="28"/>
          <w:rtl/>
        </w:rPr>
        <w:t>26.</w:t>
      </w:r>
      <w:r>
        <w:rPr>
          <w:rFonts w:ascii="FrankRuehl" w:hAnsi="FrankRuehl" w:cs="FrankRuehl"/>
          <w:sz w:val="28"/>
          <w:szCs w:val="28"/>
          <w:rtl/>
        </w:rPr>
        <w:tab/>
        <w:t xml:space="preserve">לאמור יש להוסיף כי בתביעת יורשים המבקשים להיכנס לנעלי בן-זוג, לשם החלת הִלכת שיתוף לאחר ששני בני-זוג הלכו לעולם, הנטייה לאפשר העלאת הטענה היא פחותה ויש להיזהר מלהרחיק לכת בעת יישום הִלכת השיתוף. ראו ע"א 4696/90 </w:t>
      </w:r>
      <w:r>
        <w:rPr>
          <w:rFonts w:ascii="FrankRuehl" w:hAnsi="FrankRuehl" w:cs="FrankRuehl"/>
          <w:b/>
          <w:bCs/>
          <w:sz w:val="28"/>
          <w:szCs w:val="28"/>
          <w:rtl/>
        </w:rPr>
        <w:t>פישלר</w:t>
      </w:r>
      <w:r>
        <w:rPr>
          <w:rFonts w:ascii="FrankRuehl" w:hAnsi="FrankRuehl" w:cs="FrankRuehl"/>
          <w:sz w:val="28"/>
          <w:szCs w:val="28"/>
          <w:rtl/>
        </w:rPr>
        <w:t xml:space="preserve"> </w:t>
      </w:r>
      <w:r>
        <w:rPr>
          <w:rFonts w:ascii="FrankRuehl" w:hAnsi="FrankRuehl" w:cs="FrankRuehl"/>
          <w:b/>
          <w:bCs/>
          <w:sz w:val="28"/>
          <w:szCs w:val="28"/>
          <w:rtl/>
        </w:rPr>
        <w:t>נ' שיין</w:t>
      </w:r>
      <w:r>
        <w:rPr>
          <w:rFonts w:ascii="FrankRuehl" w:hAnsi="FrankRuehl" w:cs="FrankRuehl"/>
          <w:sz w:val="28"/>
          <w:szCs w:val="28"/>
          <w:rtl/>
        </w:rPr>
        <w:t>, מיום 26.07.1994, פסקאות 11-12 לפסה"ד.</w:t>
      </w:r>
    </w:p>
    <w:p w:rsidR="00765BA7" w:rsidRDefault="00765BA7" w:rsidP="00765BA7">
      <w:pPr>
        <w:spacing w:line="360" w:lineRule="auto"/>
        <w:jc w:val="both"/>
        <w:rPr>
          <w:rFonts w:ascii="FrankRuehl" w:hAnsi="FrankRuehl" w:cs="FrankRuehl"/>
          <w:sz w:val="28"/>
          <w:szCs w:val="28"/>
          <w:rtl/>
        </w:rPr>
      </w:pPr>
    </w:p>
    <w:p w:rsidR="00765BA7" w:rsidRDefault="00765BA7" w:rsidP="00765BA7">
      <w:pPr>
        <w:spacing w:line="360" w:lineRule="auto"/>
        <w:ind w:left="720" w:hanging="720"/>
        <w:jc w:val="both"/>
        <w:rPr>
          <w:rFonts w:ascii="FrankRuehl" w:hAnsi="FrankRuehl" w:cs="FrankRuehl"/>
          <w:sz w:val="28"/>
          <w:szCs w:val="28"/>
          <w:rtl/>
        </w:rPr>
      </w:pPr>
      <w:r>
        <w:rPr>
          <w:rFonts w:ascii="FrankRuehl" w:hAnsi="FrankRuehl" w:cs="FrankRuehl"/>
          <w:sz w:val="28"/>
          <w:szCs w:val="28"/>
          <w:rtl/>
        </w:rPr>
        <w:t>27.</w:t>
      </w:r>
      <w:r>
        <w:rPr>
          <w:rFonts w:ascii="FrankRuehl" w:hAnsi="FrankRuehl" w:cs="FrankRuehl"/>
          <w:sz w:val="28"/>
          <w:szCs w:val="28"/>
          <w:rtl/>
        </w:rPr>
        <w:tab/>
        <w:t>לאור התוצאה אליה הגעתי, היְינו כי האֵם המנוחה ויתרה על זכותה לטעון כי היא זכאית למחצית מהרכוש שנצבר על שם המנוח מכוח הִלכת השיתוף - משמעות הדבר כי אין צורך לדון בשאלה האם הִלכת שיתוף חלה על רכוש מי מההורים המנוחים, אם לאו.</w:t>
      </w:r>
    </w:p>
    <w:p w:rsidR="00765BA7" w:rsidRDefault="00765BA7" w:rsidP="00765BA7">
      <w:pPr>
        <w:spacing w:line="360" w:lineRule="auto"/>
        <w:jc w:val="both"/>
        <w:rPr>
          <w:rFonts w:ascii="FrankRuehl" w:hAnsi="FrankRuehl" w:cs="FrankRuehl"/>
          <w:sz w:val="28"/>
          <w:szCs w:val="28"/>
          <w:rtl/>
        </w:rPr>
      </w:pPr>
    </w:p>
    <w:p w:rsidR="000E7EFC" w:rsidRDefault="000E7EFC" w:rsidP="00765BA7">
      <w:pPr>
        <w:spacing w:line="360" w:lineRule="auto"/>
        <w:jc w:val="both"/>
        <w:rPr>
          <w:rFonts w:ascii="FrankRuehl" w:hAnsi="FrankRuehl" w:cs="FrankRuehl"/>
          <w:sz w:val="28"/>
          <w:szCs w:val="28"/>
          <w:rtl/>
        </w:rPr>
      </w:pPr>
    </w:p>
    <w:p w:rsidR="00765BA7" w:rsidRDefault="00765BA7" w:rsidP="00765BA7">
      <w:pPr>
        <w:spacing w:line="360" w:lineRule="auto"/>
        <w:ind w:left="720" w:hanging="720"/>
        <w:jc w:val="both"/>
        <w:rPr>
          <w:rFonts w:ascii="FrankRuehl" w:hAnsi="FrankRuehl" w:cs="FrankRuehl"/>
          <w:b/>
          <w:bCs/>
          <w:sz w:val="28"/>
          <w:szCs w:val="28"/>
          <w:rtl/>
        </w:rPr>
      </w:pPr>
      <w:r>
        <w:rPr>
          <w:rFonts w:ascii="FrankRuehl" w:hAnsi="FrankRuehl" w:cs="FrankRuehl"/>
          <w:sz w:val="28"/>
          <w:szCs w:val="28"/>
          <w:rtl/>
        </w:rPr>
        <w:lastRenderedPageBreak/>
        <w:t>28.</w:t>
      </w:r>
      <w:r>
        <w:rPr>
          <w:rFonts w:ascii="FrankRuehl" w:hAnsi="FrankRuehl" w:cs="FrankRuehl"/>
          <w:sz w:val="28"/>
          <w:szCs w:val="28"/>
          <w:rtl/>
        </w:rPr>
        <w:tab/>
      </w:r>
      <w:r>
        <w:rPr>
          <w:rFonts w:ascii="FrankRuehl" w:hAnsi="FrankRuehl" w:cs="FrankRuehl"/>
          <w:b/>
          <w:bCs/>
          <w:sz w:val="28"/>
          <w:szCs w:val="28"/>
          <w:rtl/>
        </w:rPr>
        <w:t>משהגענו לכאן, וידוע היקף עִזבון האב המנוח, יש לבחון סכומי משיכות הכספים והעברות הכספים עצמן.</w:t>
      </w:r>
    </w:p>
    <w:p w:rsidR="00765BA7" w:rsidRDefault="00765BA7" w:rsidP="00765BA7">
      <w:pPr>
        <w:spacing w:line="360" w:lineRule="auto"/>
        <w:jc w:val="both"/>
        <w:rPr>
          <w:rFonts w:ascii="FrankRuehl" w:hAnsi="FrankRuehl" w:cs="FrankRuehl"/>
          <w:sz w:val="28"/>
          <w:szCs w:val="28"/>
          <w:rtl/>
        </w:rPr>
      </w:pPr>
    </w:p>
    <w:p w:rsidR="00765BA7" w:rsidRDefault="00765BA7" w:rsidP="00765BA7">
      <w:pPr>
        <w:spacing w:line="360" w:lineRule="auto"/>
        <w:ind w:left="720" w:hanging="720"/>
        <w:jc w:val="both"/>
        <w:rPr>
          <w:rFonts w:ascii="FrankRuehl" w:hAnsi="FrankRuehl" w:cs="FrankRuehl"/>
          <w:b/>
          <w:bCs/>
          <w:sz w:val="28"/>
          <w:szCs w:val="28"/>
          <w:u w:val="single"/>
          <w:rtl/>
        </w:rPr>
      </w:pPr>
      <w:r>
        <w:rPr>
          <w:rFonts w:ascii="FrankRuehl" w:hAnsi="FrankRuehl" w:cs="FrankRuehl"/>
          <w:sz w:val="28"/>
          <w:szCs w:val="28"/>
          <w:rtl/>
        </w:rPr>
        <w:t>29.</w:t>
      </w:r>
      <w:r>
        <w:rPr>
          <w:rFonts w:ascii="FrankRuehl" w:hAnsi="FrankRuehl" w:cs="FrankRuehl"/>
          <w:sz w:val="28"/>
          <w:szCs w:val="28"/>
          <w:rtl/>
        </w:rPr>
        <w:tab/>
        <w:t xml:space="preserve">לא המומחה בחוות דעתו ולא הצדדים השכילו להניח בפני בית המשפט יתרות חשבונות בנק נכון למועד פטירת ההורים, על-מנת שניתן יהא לבחון את טענותיהם כי קיבלו: לטענת התובע פחות מחלקו ולטענת הנתבעים יותר מחלקו. מאחר ואין בפני ראיות בדְבר יתרות למועד הפטירה, איני יכולה לערוך אבחנה בין חלקו של כל יורש בכל עִזבון בנפרד. לאור כך, ומשנדחתה הטענה לתחולת הִלכת שיתוף מאחר ושלושת הצדדים יורשים בחלקים שווים את עִזבון האֵם המנוחה, הפרדה בין עִזבון האב לעִזבון האֵם, ואין בנסיבות שבפני יתרות למועד הפטירה משמעות אופרטיבית - </w:t>
      </w:r>
      <w:r>
        <w:rPr>
          <w:rFonts w:ascii="FrankRuehl" w:hAnsi="FrankRuehl" w:cs="FrankRuehl"/>
          <w:b/>
          <w:bCs/>
          <w:sz w:val="28"/>
          <w:szCs w:val="28"/>
          <w:u w:val="single"/>
          <w:rtl/>
        </w:rPr>
        <w:t>ההכרעה בהליך תיעשה בהסתמך על העברות כספים שנעשו על דרך של השוואת הסכומים שקיבל כל יורש, ובהתייחס לחלקו בעִזבון</w:t>
      </w:r>
      <w:r>
        <w:rPr>
          <w:rFonts w:ascii="FrankRuehl" w:hAnsi="FrankRuehl" w:cs="FrankRuehl"/>
          <w:b/>
          <w:bCs/>
          <w:sz w:val="28"/>
          <w:szCs w:val="28"/>
          <w:rtl/>
        </w:rPr>
        <w:t>.</w:t>
      </w:r>
    </w:p>
    <w:p w:rsidR="00765BA7" w:rsidRDefault="00765BA7" w:rsidP="00765BA7">
      <w:pPr>
        <w:spacing w:line="360" w:lineRule="auto"/>
        <w:jc w:val="both"/>
        <w:rPr>
          <w:rFonts w:ascii="FrankRuehl" w:hAnsi="FrankRuehl" w:cs="FrankRuehl"/>
          <w:b/>
          <w:bCs/>
          <w:sz w:val="28"/>
          <w:szCs w:val="28"/>
          <w:u w:val="single"/>
          <w:rtl/>
        </w:rPr>
      </w:pPr>
    </w:p>
    <w:p w:rsidR="00765BA7" w:rsidRDefault="00765BA7" w:rsidP="00765BA7">
      <w:pPr>
        <w:spacing w:line="360" w:lineRule="auto"/>
        <w:ind w:left="720" w:hanging="720"/>
        <w:jc w:val="both"/>
        <w:rPr>
          <w:rFonts w:ascii="FrankRuehl" w:hAnsi="FrankRuehl" w:cs="FrankRuehl"/>
          <w:noProof w:val="0"/>
          <w:sz w:val="28"/>
          <w:szCs w:val="28"/>
          <w:rtl/>
        </w:rPr>
      </w:pPr>
      <w:r>
        <w:rPr>
          <w:rFonts w:ascii="FrankRuehl" w:hAnsi="FrankRuehl" w:cs="FrankRuehl"/>
          <w:sz w:val="28"/>
          <w:szCs w:val="28"/>
          <w:rtl/>
        </w:rPr>
        <w:t>30.</w:t>
      </w:r>
      <w:r>
        <w:rPr>
          <w:rFonts w:ascii="FrankRuehl" w:hAnsi="FrankRuehl" w:cs="FrankRuehl"/>
          <w:sz w:val="28"/>
          <w:szCs w:val="28"/>
          <w:rtl/>
        </w:rPr>
        <w:tab/>
        <w:t>על פי חוות דעת המומחה המעודכנת עליה הצדדים לא חלקו, בתקופה הרלוונטית נמשך  מחשבונות הבנקים של ההורים המנוחים סך 6,134,444 ₪. מתוך סכום זה:</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 סך 924,078 הועבר לתובע;</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 xml:space="preserve">• סך 3,979,695 ₪ לנתבע 1;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 סך 900,000 ₪ לנתבע 2;</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 סך של 124,800 ₪  ל-"</w:t>
      </w:r>
      <w:r>
        <w:rPr>
          <w:rFonts w:ascii="FrankRuehl" w:hAnsi="FrankRuehl" w:cs="Miriam"/>
          <w:sz w:val="28"/>
          <w:szCs w:val="23"/>
          <w:rtl/>
        </w:rPr>
        <w:t>שונות</w:t>
      </w:r>
      <w:r>
        <w:rPr>
          <w:rFonts w:ascii="FrankRuehl" w:hAnsi="FrankRuehl" w:cs="FrankRuehl"/>
          <w:sz w:val="28"/>
          <w:szCs w:val="28"/>
          <w:rtl/>
        </w:rPr>
        <w:t>".</w:t>
      </w:r>
    </w:p>
    <w:p w:rsidR="00765BA7" w:rsidRDefault="00765BA7" w:rsidP="00765BA7">
      <w:pPr>
        <w:spacing w:line="360" w:lineRule="auto"/>
        <w:jc w:val="both"/>
        <w:rPr>
          <w:rFonts w:ascii="FrankRuehl" w:hAnsi="FrankRuehl" w:cs="FrankRuehl"/>
          <w:sz w:val="28"/>
          <w:szCs w:val="28"/>
          <w:rtl/>
        </w:rPr>
      </w:pPr>
    </w:p>
    <w:p w:rsidR="00765BA7" w:rsidRDefault="00765BA7" w:rsidP="00765BA7">
      <w:pPr>
        <w:spacing w:line="360" w:lineRule="auto"/>
        <w:jc w:val="both"/>
        <w:rPr>
          <w:rFonts w:ascii="FrankRuehl" w:hAnsi="FrankRuehl" w:cs="FrankRuehl"/>
          <w:sz w:val="28"/>
          <w:szCs w:val="28"/>
          <w:rtl/>
        </w:rPr>
      </w:pPr>
      <w:r>
        <w:rPr>
          <w:rFonts w:ascii="FrankRuehl" w:hAnsi="FrankRuehl" w:cs="FrankRuehl"/>
          <w:sz w:val="28"/>
          <w:szCs w:val="28"/>
          <w:rtl/>
        </w:rPr>
        <w:t>נוסף על סכומים אלו, הועבר לתובע מאת נתבע 2 סך 206,271 ₪. על כן, יש להוסיף סכום זה לתובע ולהפחיתו מהסכומים שהתקבלו אצל נתבע 2.</w:t>
      </w:r>
    </w:p>
    <w:p w:rsidR="00765BA7" w:rsidRDefault="00765BA7" w:rsidP="00765BA7">
      <w:pPr>
        <w:spacing w:line="360" w:lineRule="auto"/>
        <w:jc w:val="both"/>
        <w:rPr>
          <w:rFonts w:ascii="FrankRuehl" w:hAnsi="FrankRuehl" w:cs="FrankRuehl"/>
          <w:sz w:val="28"/>
          <w:szCs w:val="28"/>
          <w:rtl/>
        </w:rPr>
      </w:pPr>
    </w:p>
    <w:p w:rsidR="00765BA7" w:rsidRDefault="00765BA7" w:rsidP="00765BA7">
      <w:pPr>
        <w:spacing w:line="360" w:lineRule="auto"/>
        <w:jc w:val="both"/>
        <w:rPr>
          <w:rFonts w:ascii="FrankRuehl" w:hAnsi="FrankRuehl" w:cs="FrankRuehl"/>
          <w:sz w:val="28"/>
          <w:szCs w:val="28"/>
          <w:rtl/>
        </w:rPr>
      </w:pPr>
      <w:r>
        <w:rPr>
          <w:rFonts w:ascii="FrankRuehl" w:hAnsi="FrankRuehl" w:cs="FrankRuehl"/>
          <w:sz w:val="28"/>
          <w:szCs w:val="28"/>
          <w:rtl/>
        </w:rPr>
        <w:t>יוער כי המומחה ציין כי לא התקבלו בידו כל מסמכים מהבנק וחסרים מסמכים מבנק "לאומי" לתקופה שבין יום 01.07.2004 ליום 17.01.2006 ובין יום 22.05.2006 ליום 31.01.2008.</w:t>
      </w:r>
    </w:p>
    <w:p w:rsidR="00765BA7" w:rsidRDefault="00765BA7" w:rsidP="00765BA7">
      <w:pPr>
        <w:spacing w:line="360" w:lineRule="auto"/>
        <w:jc w:val="both"/>
        <w:rPr>
          <w:rFonts w:ascii="FrankRuehl" w:hAnsi="FrankRuehl" w:cs="FrankRuehl"/>
          <w:sz w:val="28"/>
          <w:szCs w:val="28"/>
          <w:rtl/>
        </w:rPr>
      </w:pPr>
    </w:p>
    <w:p w:rsidR="00765BA7" w:rsidRDefault="00765BA7" w:rsidP="00765BA7">
      <w:pPr>
        <w:spacing w:line="360" w:lineRule="auto"/>
        <w:ind w:left="720" w:hanging="720"/>
        <w:jc w:val="both"/>
        <w:rPr>
          <w:rFonts w:ascii="FrankRuehl" w:hAnsi="FrankRuehl" w:cs="FrankRuehl"/>
          <w:sz w:val="28"/>
          <w:szCs w:val="28"/>
          <w:rtl/>
        </w:rPr>
      </w:pPr>
      <w:r>
        <w:rPr>
          <w:rFonts w:ascii="FrankRuehl" w:hAnsi="FrankRuehl" w:cs="FrankRuehl"/>
          <w:sz w:val="28"/>
          <w:szCs w:val="28"/>
          <w:rtl/>
        </w:rPr>
        <w:t>31.</w:t>
      </w:r>
      <w:r>
        <w:rPr>
          <w:rFonts w:ascii="FrankRuehl" w:hAnsi="FrankRuehl" w:cs="FrankRuehl"/>
          <w:sz w:val="28"/>
          <w:szCs w:val="28"/>
          <w:rtl/>
        </w:rPr>
        <w:tab/>
        <w:t>יוצא כי אם יתקבלו כל טענות התובע, כך שמדובר בהעברות על חשבון חלקו של כל יורש בעִזבון, אזי  חלקו של כל יורש, כולל חלקו במקרקעין שנמכרו, הוא סך 2,003,214.60 ₪ (6,134,444 ₪ פחות 124,800 ₪ לחלק ל-3).</w:t>
      </w:r>
    </w:p>
    <w:p w:rsidR="00765BA7" w:rsidRDefault="00765BA7" w:rsidP="00765BA7">
      <w:pPr>
        <w:spacing w:line="360" w:lineRule="auto"/>
        <w:jc w:val="both"/>
        <w:rPr>
          <w:rFonts w:ascii="FrankRuehl" w:hAnsi="FrankRuehl" w:cs="FrankRuehl"/>
          <w:sz w:val="28"/>
          <w:szCs w:val="28"/>
          <w:rtl/>
        </w:rPr>
      </w:pPr>
    </w:p>
    <w:p w:rsidR="0045483D" w:rsidRDefault="00765BA7" w:rsidP="00765BA7">
      <w:pPr>
        <w:spacing w:line="360" w:lineRule="auto"/>
        <w:ind w:left="720" w:hanging="720"/>
        <w:jc w:val="both"/>
        <w:rPr>
          <w:rFonts w:ascii="FrankRuehl" w:hAnsi="FrankRuehl" w:cs="FrankRuehl"/>
          <w:b/>
          <w:bCs/>
          <w:sz w:val="28"/>
          <w:szCs w:val="28"/>
          <w:rtl/>
        </w:rPr>
      </w:pPr>
      <w:r>
        <w:rPr>
          <w:rFonts w:ascii="FrankRuehl" w:hAnsi="FrankRuehl" w:cs="FrankRuehl"/>
          <w:sz w:val="28"/>
          <w:szCs w:val="28"/>
          <w:rtl/>
        </w:rPr>
        <w:lastRenderedPageBreak/>
        <w:t>32.</w:t>
      </w:r>
      <w:r>
        <w:rPr>
          <w:rFonts w:ascii="FrankRuehl" w:hAnsi="FrankRuehl" w:cs="FrankRuehl"/>
          <w:sz w:val="28"/>
          <w:szCs w:val="28"/>
          <w:rtl/>
        </w:rPr>
        <w:tab/>
      </w:r>
      <w:r>
        <w:rPr>
          <w:rFonts w:ascii="FrankRuehl" w:hAnsi="FrankRuehl" w:cs="FrankRuehl"/>
          <w:b/>
          <w:bCs/>
          <w:sz w:val="28"/>
          <w:szCs w:val="28"/>
          <w:rtl/>
        </w:rPr>
        <w:t xml:space="preserve">האם מדובר בהעברות שנעשו "על חשבון" חלוקת כספי עִזבון? </w:t>
      </w:r>
    </w:p>
    <w:p w:rsidR="00765BA7" w:rsidRDefault="00765BA7" w:rsidP="0045483D">
      <w:pPr>
        <w:spacing w:line="360" w:lineRule="auto"/>
        <w:ind w:left="720"/>
        <w:jc w:val="both"/>
        <w:rPr>
          <w:rFonts w:ascii="FrankRuehl" w:hAnsi="FrankRuehl" w:cs="FrankRuehl"/>
          <w:b/>
          <w:bCs/>
          <w:sz w:val="28"/>
          <w:szCs w:val="28"/>
          <w:rtl/>
        </w:rPr>
      </w:pPr>
      <w:r>
        <w:rPr>
          <w:rFonts w:ascii="FrankRuehl" w:hAnsi="FrankRuehl" w:cs="FrankRuehl"/>
          <w:b/>
          <w:bCs/>
          <w:sz w:val="28"/>
          <w:szCs w:val="28"/>
          <w:rtl/>
        </w:rPr>
        <w:t xml:space="preserve">מצאתי התשובה, </w:t>
      </w:r>
      <w:r>
        <w:rPr>
          <w:rFonts w:ascii="FrankRuehl" w:hAnsi="FrankRuehl" w:cs="FrankRuehl"/>
          <w:b/>
          <w:bCs/>
          <w:sz w:val="28"/>
          <w:szCs w:val="28"/>
          <w:u w:val="single"/>
          <w:rtl/>
        </w:rPr>
        <w:t>ביחס למרבית</w:t>
      </w:r>
      <w:r>
        <w:rPr>
          <w:rFonts w:ascii="FrankRuehl" w:hAnsi="FrankRuehl" w:cs="FrankRuehl"/>
          <w:b/>
          <w:bCs/>
          <w:sz w:val="28"/>
          <w:szCs w:val="28"/>
          <w:rtl/>
        </w:rPr>
        <w:t xml:space="preserve"> הסכומים, חיובית, וכדלקמן:</w:t>
      </w:r>
    </w:p>
    <w:p w:rsidR="00765BA7" w:rsidRDefault="00765BA7" w:rsidP="00765BA7">
      <w:pPr>
        <w:spacing w:line="360" w:lineRule="auto"/>
        <w:jc w:val="both"/>
        <w:rPr>
          <w:rFonts w:ascii="FrankRuehl" w:hAnsi="FrankRuehl" w:cs="FrankRuehl"/>
          <w:sz w:val="28"/>
          <w:szCs w:val="28"/>
          <w:rtl/>
        </w:rPr>
      </w:pPr>
    </w:p>
    <w:p w:rsidR="00765BA7" w:rsidRDefault="00765BA7" w:rsidP="00606666">
      <w:pPr>
        <w:spacing w:line="360" w:lineRule="auto"/>
        <w:ind w:left="1440" w:hanging="720"/>
        <w:jc w:val="both"/>
        <w:rPr>
          <w:rFonts w:ascii="FrankRuehl" w:hAnsi="FrankRuehl" w:cs="FrankRuehl"/>
          <w:sz w:val="28"/>
          <w:szCs w:val="28"/>
          <w:rtl/>
        </w:rPr>
      </w:pPr>
      <w:r>
        <w:rPr>
          <w:rFonts w:ascii="FrankRuehl" w:hAnsi="FrankRuehl" w:cs="FrankRuehl"/>
          <w:sz w:val="28"/>
          <w:szCs w:val="28"/>
          <w:rtl/>
        </w:rPr>
        <w:t xml:space="preserve">32.1. </w:t>
      </w:r>
      <w:r>
        <w:rPr>
          <w:rFonts w:ascii="FrankRuehl" w:hAnsi="FrankRuehl" w:cs="FrankRuehl"/>
          <w:b/>
          <w:bCs/>
          <w:sz w:val="28"/>
          <w:szCs w:val="28"/>
          <w:rtl/>
        </w:rPr>
        <w:tab/>
      </w:r>
      <w:r>
        <w:rPr>
          <w:rFonts w:ascii="FrankRuehl" w:hAnsi="FrankRuehl" w:cs="FrankRuehl"/>
          <w:sz w:val="28"/>
          <w:szCs w:val="28"/>
          <w:rtl/>
        </w:rPr>
        <w:t xml:space="preserve">העברה מיום 21.10.2009 על סך 1,158,161 ₪ מח-ן </w:t>
      </w:r>
      <w:r w:rsidR="00606666">
        <w:rPr>
          <w:rFonts w:ascii="FrankRuehl" w:hAnsi="FrankRuehl" w:cs="FrankRuehl" w:hint="cs"/>
          <w:sz w:val="28"/>
          <w:szCs w:val="28"/>
          <w:rtl/>
        </w:rPr>
        <w:t xml:space="preserve">---- </w:t>
      </w:r>
      <w:r>
        <w:rPr>
          <w:rFonts w:ascii="FrankRuehl" w:hAnsi="FrankRuehl" w:cs="FrankRuehl"/>
          <w:sz w:val="28"/>
          <w:szCs w:val="28"/>
          <w:rtl/>
        </w:rPr>
        <w:t>בנק "לאומי" לנתבע 2.</w:t>
      </w:r>
    </w:p>
    <w:p w:rsidR="00765BA7" w:rsidRDefault="00765BA7" w:rsidP="00765BA7">
      <w:pPr>
        <w:spacing w:line="360" w:lineRule="auto"/>
        <w:ind w:left="1440" w:hanging="720"/>
        <w:jc w:val="both"/>
        <w:rPr>
          <w:rFonts w:ascii="FrankRuehl" w:hAnsi="FrankRuehl" w:cs="FrankRuehl"/>
          <w:sz w:val="28"/>
          <w:szCs w:val="28"/>
          <w:rtl/>
        </w:rPr>
      </w:pPr>
    </w:p>
    <w:p w:rsidR="00765BA7" w:rsidRDefault="00765BA7" w:rsidP="00606666">
      <w:pPr>
        <w:spacing w:line="360" w:lineRule="auto"/>
        <w:ind w:left="1440" w:hanging="720"/>
        <w:jc w:val="both"/>
        <w:rPr>
          <w:rFonts w:ascii="FrankRuehl" w:hAnsi="FrankRuehl" w:cs="FrankRuehl"/>
          <w:sz w:val="28"/>
          <w:szCs w:val="28"/>
          <w:rtl/>
        </w:rPr>
      </w:pPr>
      <w:r>
        <w:rPr>
          <w:rFonts w:ascii="FrankRuehl" w:hAnsi="FrankRuehl" w:cs="FrankRuehl"/>
          <w:sz w:val="28"/>
          <w:szCs w:val="28"/>
          <w:rtl/>
        </w:rPr>
        <w:t xml:space="preserve">32.2. </w:t>
      </w:r>
      <w:r>
        <w:rPr>
          <w:rFonts w:ascii="FrankRuehl" w:hAnsi="FrankRuehl" w:cs="FrankRuehl"/>
          <w:sz w:val="28"/>
          <w:szCs w:val="28"/>
          <w:rtl/>
        </w:rPr>
        <w:tab/>
        <w:t xml:space="preserve">העברה מיום 01.12.2009 על סך 1,167,000 ₪ מח-ן </w:t>
      </w:r>
      <w:r w:rsidR="00606666">
        <w:rPr>
          <w:rFonts w:ascii="FrankRuehl" w:hAnsi="FrankRuehl" w:cs="FrankRuehl" w:hint="cs"/>
          <w:sz w:val="28"/>
          <w:szCs w:val="28"/>
          <w:rtl/>
        </w:rPr>
        <w:t xml:space="preserve">---- </w:t>
      </w:r>
      <w:r>
        <w:rPr>
          <w:rFonts w:ascii="FrankRuehl" w:hAnsi="FrankRuehl" w:cs="FrankRuehl"/>
          <w:sz w:val="28"/>
          <w:szCs w:val="28"/>
          <w:rtl/>
        </w:rPr>
        <w:t>בנק "לאומי" לנתבע 1.</w:t>
      </w:r>
    </w:p>
    <w:p w:rsidR="00765BA7" w:rsidRDefault="00765BA7" w:rsidP="00765BA7">
      <w:pPr>
        <w:spacing w:line="360" w:lineRule="auto"/>
        <w:jc w:val="both"/>
        <w:rPr>
          <w:rFonts w:ascii="FrankRuehl" w:hAnsi="FrankRuehl" w:cs="FrankRuehl"/>
          <w:sz w:val="28"/>
          <w:szCs w:val="28"/>
          <w:rtl/>
        </w:rPr>
      </w:pPr>
    </w:p>
    <w:p w:rsidR="00765BA7" w:rsidRDefault="00765BA7" w:rsidP="0087086A">
      <w:pPr>
        <w:spacing w:line="360" w:lineRule="auto"/>
        <w:ind w:left="720"/>
        <w:jc w:val="both"/>
        <w:rPr>
          <w:rFonts w:ascii="FrankRuehl" w:hAnsi="FrankRuehl" w:cs="FrankRuehl"/>
          <w:sz w:val="28"/>
          <w:szCs w:val="28"/>
          <w:rtl/>
        </w:rPr>
      </w:pPr>
      <w:r>
        <w:rPr>
          <w:rFonts w:ascii="FrankRuehl" w:hAnsi="FrankRuehl" w:cs="FrankRuehl"/>
          <w:sz w:val="28"/>
          <w:szCs w:val="28"/>
          <w:rtl/>
        </w:rPr>
        <w:t xml:space="preserve">ביחס </w:t>
      </w:r>
      <w:r w:rsidR="0045483D">
        <w:rPr>
          <w:rFonts w:ascii="FrankRuehl" w:hAnsi="FrankRuehl" w:cs="FrankRuehl"/>
          <w:sz w:val="28"/>
          <w:szCs w:val="28"/>
          <w:rtl/>
        </w:rPr>
        <w:t xml:space="preserve">להעברות אלו </w:t>
      </w:r>
      <w:r w:rsidR="0087086A">
        <w:rPr>
          <w:rFonts w:ascii="FrankRuehl" w:hAnsi="FrankRuehl" w:cs="FrankRuehl" w:hint="cs"/>
          <w:sz w:val="28"/>
          <w:szCs w:val="28"/>
          <w:rtl/>
        </w:rPr>
        <w:t xml:space="preserve">(32.1-32.2) </w:t>
      </w:r>
      <w:r w:rsidR="0045483D">
        <w:rPr>
          <w:rFonts w:ascii="FrankRuehl" w:hAnsi="FrankRuehl" w:cs="FrankRuehl"/>
          <w:sz w:val="28"/>
          <w:szCs w:val="28"/>
          <w:rtl/>
        </w:rPr>
        <w:t xml:space="preserve">העידו הנתבעים כי </w:t>
      </w:r>
      <w:r>
        <w:rPr>
          <w:rFonts w:ascii="FrankRuehl" w:hAnsi="FrankRuehl" w:cs="FrankRuehl"/>
          <w:sz w:val="28"/>
          <w:szCs w:val="28"/>
          <w:rtl/>
        </w:rPr>
        <w:t>בוצעו על דעתם, ללא הרשאה או בקשה מאת המנוחה אלא "</w:t>
      </w:r>
      <w:r>
        <w:rPr>
          <w:rFonts w:ascii="FrankRuehl" w:hAnsi="FrankRuehl" w:cs="Miriam"/>
          <w:sz w:val="28"/>
          <w:szCs w:val="23"/>
          <w:rtl/>
        </w:rPr>
        <w:t>כי מגיע לנו</w:t>
      </w:r>
      <w:r>
        <w:rPr>
          <w:rFonts w:ascii="FrankRuehl" w:hAnsi="FrankRuehl" w:cs="FrankRuehl"/>
          <w:sz w:val="28"/>
          <w:szCs w:val="28"/>
          <w:rtl/>
        </w:rPr>
        <w:t>" וכי "</w:t>
      </w:r>
      <w:r>
        <w:rPr>
          <w:rFonts w:ascii="FrankRuehl" w:hAnsi="FrankRuehl" w:cs="Miriam"/>
          <w:sz w:val="28"/>
          <w:szCs w:val="23"/>
          <w:rtl/>
        </w:rPr>
        <w:t>הוא לקח פי 10 ממה שלקחנו</w:t>
      </w:r>
      <w:r>
        <w:rPr>
          <w:rFonts w:ascii="FrankRuehl" w:hAnsi="FrankRuehl" w:cs="FrankRuehl"/>
          <w:sz w:val="28"/>
          <w:szCs w:val="28"/>
          <w:rtl/>
        </w:rPr>
        <w:t xml:space="preserve">". ראו עמוד 112 שורות </w:t>
      </w:r>
      <w:r w:rsidR="002B12E0">
        <w:rPr>
          <w:rFonts w:ascii="FrankRuehl" w:hAnsi="FrankRuehl" w:cs="FrankRuehl"/>
          <w:sz w:val="28"/>
          <w:szCs w:val="28"/>
          <w:rtl/>
        </w:rPr>
        <w:t xml:space="preserve">1-28;  עמוד 94 שורות 6 ואילך </w:t>
      </w:r>
      <w:r w:rsidR="002B12E0">
        <w:rPr>
          <w:rFonts w:ascii="FrankRuehl" w:hAnsi="FrankRuehl" w:cs="FrankRuehl" w:hint="cs"/>
          <w:sz w:val="28"/>
          <w:szCs w:val="28"/>
          <w:rtl/>
        </w:rPr>
        <w:t>לפרוטוקול המתומלל</w:t>
      </w:r>
      <w:r w:rsidR="002B12E0">
        <w:rPr>
          <w:rFonts w:ascii="FrankRuehl" w:hAnsi="FrankRuehl" w:cs="FrankRuehl"/>
          <w:sz w:val="28"/>
          <w:szCs w:val="28"/>
          <w:rtl/>
        </w:rPr>
        <w:t xml:space="preserve"> </w:t>
      </w:r>
      <w:r>
        <w:rPr>
          <w:rFonts w:ascii="FrankRuehl" w:hAnsi="FrankRuehl" w:cs="FrankRuehl"/>
          <w:sz w:val="28"/>
          <w:szCs w:val="28"/>
          <w:rtl/>
        </w:rPr>
        <w:t>(ההדגשה שלי):</w:t>
      </w:r>
    </w:p>
    <w:p w:rsidR="00765BA7" w:rsidRDefault="00765BA7" w:rsidP="00765BA7">
      <w:pPr>
        <w:spacing w:line="360" w:lineRule="auto"/>
        <w:ind w:left="720"/>
        <w:jc w:val="both"/>
        <w:rPr>
          <w:rFonts w:ascii="FrankRuehl" w:hAnsi="FrankRuehl" w:cs="FrankRuehl"/>
          <w:sz w:val="12"/>
          <w:szCs w:val="12"/>
          <w:rtl/>
        </w:rPr>
      </w:pPr>
    </w:p>
    <w:p w:rsidR="00765BA7" w:rsidRPr="00951115" w:rsidRDefault="00765BA7" w:rsidP="00765BA7">
      <w:pPr>
        <w:ind w:left="4320" w:right="1134" w:hanging="2880"/>
        <w:jc w:val="both"/>
        <w:rPr>
          <w:rFonts w:ascii="FrankRuehl" w:hAnsi="FrankRuehl" w:cs="Miriam"/>
          <w:noProof w:val="0"/>
          <w:sz w:val="20"/>
          <w:szCs w:val="20"/>
          <w:rtl/>
          <w:lang w:val="x-none" w:eastAsia="he-IL"/>
        </w:rPr>
      </w:pPr>
      <w:r w:rsidRPr="00951115">
        <w:rPr>
          <w:rFonts w:ascii="FrankRuehl" w:hAnsi="FrankRuehl" w:cs="Miriam"/>
          <w:sz w:val="20"/>
          <w:szCs w:val="20"/>
          <w:rtl/>
          <w:lang w:val="x-none" w:eastAsia="he-IL"/>
        </w:rPr>
        <w:t>"ת:</w:t>
      </w:r>
      <w:r w:rsidRPr="00951115">
        <w:rPr>
          <w:rFonts w:ascii="FrankRuehl" w:hAnsi="FrankRuehl" w:cs="Miriam"/>
          <w:sz w:val="20"/>
          <w:szCs w:val="20"/>
          <w:rtl/>
          <w:lang w:val="x-none" w:eastAsia="he-IL"/>
        </w:rPr>
        <w:tab/>
        <w:t>התביעה האחרונה. זה התביעה של היום. כן.</w:t>
      </w:r>
    </w:p>
    <w:p w:rsidR="00765BA7" w:rsidRPr="00951115" w:rsidRDefault="00765BA7" w:rsidP="00765BA7">
      <w:pPr>
        <w:ind w:left="4320" w:right="1134" w:hanging="2880"/>
        <w:jc w:val="both"/>
        <w:rPr>
          <w:rFonts w:ascii="FrankRuehl" w:hAnsi="FrankRuehl" w:cs="Miriam"/>
          <w:sz w:val="20"/>
          <w:szCs w:val="20"/>
          <w:lang w:val="x-none" w:eastAsia="he-IL"/>
        </w:rPr>
      </w:pPr>
      <w:r w:rsidRPr="00951115">
        <w:rPr>
          <w:rFonts w:ascii="FrankRuehl" w:hAnsi="FrankRuehl" w:cs="Miriam"/>
          <w:sz w:val="20"/>
          <w:szCs w:val="20"/>
          <w:rtl/>
          <w:lang w:val="x-none" w:eastAsia="he-IL"/>
        </w:rPr>
        <w:t>ש:</w:t>
      </w:r>
      <w:r w:rsidRPr="00951115">
        <w:rPr>
          <w:rFonts w:ascii="FrankRuehl" w:hAnsi="FrankRuehl" w:cs="Miriam"/>
          <w:sz w:val="20"/>
          <w:szCs w:val="20"/>
          <w:rtl/>
          <w:lang w:val="x-none" w:eastAsia="he-IL"/>
        </w:rPr>
        <w:tab/>
        <w:t>בגלל שהוא הבין שלקחתם יותר כסף.</w:t>
      </w:r>
    </w:p>
    <w:p w:rsidR="00765BA7" w:rsidRPr="00951115" w:rsidRDefault="00765BA7" w:rsidP="00765BA7">
      <w:pPr>
        <w:ind w:left="4320" w:right="1134" w:hanging="2880"/>
        <w:jc w:val="both"/>
        <w:rPr>
          <w:rFonts w:ascii="FrankRuehl" w:hAnsi="FrankRuehl" w:cs="Miriam"/>
          <w:sz w:val="20"/>
          <w:szCs w:val="20"/>
          <w:rtl/>
          <w:lang w:val="x-none" w:eastAsia="he-IL"/>
        </w:rPr>
      </w:pPr>
      <w:r w:rsidRPr="00951115">
        <w:rPr>
          <w:rFonts w:ascii="FrankRuehl" w:hAnsi="FrankRuehl" w:cs="Miriam"/>
          <w:sz w:val="20"/>
          <w:szCs w:val="20"/>
          <w:rtl/>
          <w:lang w:val="x-none" w:eastAsia="he-IL"/>
        </w:rPr>
        <w:t>ת:</w:t>
      </w:r>
      <w:r w:rsidRPr="00951115">
        <w:rPr>
          <w:rFonts w:ascii="FrankRuehl" w:hAnsi="FrankRuehl" w:cs="Miriam"/>
          <w:sz w:val="20"/>
          <w:szCs w:val="20"/>
          <w:rtl/>
          <w:lang w:val="x-none" w:eastAsia="he-IL"/>
        </w:rPr>
        <w:tab/>
        <w:t>הוא הבין. תבדוק כמה כל אחד לקח. תבדוק.</w:t>
      </w:r>
    </w:p>
    <w:p w:rsidR="00765BA7" w:rsidRPr="00951115" w:rsidRDefault="00765BA7" w:rsidP="00765BA7">
      <w:pPr>
        <w:ind w:left="4320" w:right="1134" w:hanging="2880"/>
        <w:jc w:val="both"/>
        <w:rPr>
          <w:rFonts w:ascii="FrankRuehl" w:hAnsi="FrankRuehl" w:cs="Miriam"/>
          <w:b/>
          <w:bCs/>
          <w:sz w:val="20"/>
          <w:szCs w:val="20"/>
          <w:rtl/>
          <w:lang w:val="x-none" w:eastAsia="he-IL"/>
        </w:rPr>
      </w:pPr>
      <w:r w:rsidRPr="00951115">
        <w:rPr>
          <w:rFonts w:ascii="FrankRuehl" w:hAnsi="FrankRuehl" w:cs="Miriam"/>
          <w:sz w:val="20"/>
          <w:szCs w:val="20"/>
          <w:rtl/>
          <w:lang w:val="x-none" w:eastAsia="he-IL"/>
        </w:rPr>
        <w:t>ש:</w:t>
      </w:r>
      <w:r w:rsidRPr="00951115">
        <w:rPr>
          <w:rFonts w:ascii="FrankRuehl" w:hAnsi="FrankRuehl" w:cs="Miriam"/>
          <w:sz w:val="20"/>
          <w:szCs w:val="20"/>
          <w:rtl/>
          <w:lang w:val="x-none" w:eastAsia="he-IL"/>
        </w:rPr>
        <w:tab/>
      </w:r>
      <w:r w:rsidRPr="00951115">
        <w:rPr>
          <w:rFonts w:ascii="FrankRuehl" w:hAnsi="FrankRuehl" w:cs="Miriam"/>
          <w:b/>
          <w:bCs/>
          <w:sz w:val="20"/>
          <w:szCs w:val="20"/>
          <w:rtl/>
          <w:lang w:val="x-none" w:eastAsia="he-IL"/>
        </w:rPr>
        <w:t>אבל אתה בעצמך סיפרת שאתה מבנק לאומי, אתה ו</w:t>
      </w:r>
      <w:r w:rsidR="003E4826">
        <w:rPr>
          <w:rFonts w:ascii="FrankRuehl" w:hAnsi="FrankRuehl" w:cs="Miriam"/>
          <w:b/>
          <w:bCs/>
          <w:sz w:val="20"/>
          <w:szCs w:val="20"/>
          <w:rtl/>
          <w:lang w:val="x-none" w:eastAsia="he-IL"/>
        </w:rPr>
        <w:t>ס'</w:t>
      </w:r>
      <w:r w:rsidRPr="00951115">
        <w:rPr>
          <w:rFonts w:ascii="FrankRuehl" w:hAnsi="FrankRuehl" w:cs="Miriam"/>
          <w:b/>
          <w:bCs/>
          <w:sz w:val="20"/>
          <w:szCs w:val="20"/>
          <w:rtl/>
          <w:lang w:val="x-none" w:eastAsia="he-IL"/>
        </w:rPr>
        <w:t xml:space="preserve"> לקחתם,</w:t>
      </w:r>
    </w:p>
    <w:p w:rsidR="00765BA7" w:rsidRPr="00951115" w:rsidRDefault="00765BA7" w:rsidP="00765BA7">
      <w:pPr>
        <w:ind w:left="4320" w:right="1134" w:hanging="2880"/>
        <w:jc w:val="both"/>
        <w:rPr>
          <w:rFonts w:ascii="FrankRuehl" w:hAnsi="FrankRuehl" w:cs="Miriam"/>
          <w:b/>
          <w:bCs/>
          <w:sz w:val="20"/>
          <w:szCs w:val="20"/>
          <w:rtl/>
          <w:lang w:val="x-none" w:eastAsia="he-IL"/>
        </w:rPr>
      </w:pPr>
      <w:r w:rsidRPr="00951115">
        <w:rPr>
          <w:rFonts w:ascii="FrankRuehl" w:hAnsi="FrankRuehl" w:cs="Miriam"/>
          <w:sz w:val="20"/>
          <w:szCs w:val="20"/>
          <w:rtl/>
          <w:lang w:val="x-none" w:eastAsia="he-IL"/>
        </w:rPr>
        <w:t>ת:</w:t>
      </w:r>
      <w:r w:rsidRPr="00951115">
        <w:rPr>
          <w:rFonts w:ascii="FrankRuehl" w:hAnsi="FrankRuehl" w:cs="Miriam"/>
          <w:b/>
          <w:bCs/>
          <w:sz w:val="20"/>
          <w:szCs w:val="20"/>
          <w:rtl/>
          <w:lang w:val="x-none" w:eastAsia="he-IL"/>
        </w:rPr>
        <w:tab/>
        <w:t>נכון.</w:t>
      </w:r>
    </w:p>
    <w:p w:rsidR="00765BA7" w:rsidRPr="00951115" w:rsidRDefault="00765BA7" w:rsidP="00765BA7">
      <w:pPr>
        <w:ind w:left="4320" w:right="1134" w:hanging="2880"/>
        <w:jc w:val="both"/>
        <w:rPr>
          <w:rFonts w:ascii="FrankRuehl" w:hAnsi="FrankRuehl" w:cs="Miriam"/>
          <w:b/>
          <w:bCs/>
          <w:sz w:val="20"/>
          <w:szCs w:val="20"/>
          <w:rtl/>
          <w:lang w:val="x-none" w:eastAsia="he-IL"/>
        </w:rPr>
      </w:pPr>
      <w:r w:rsidRPr="00951115">
        <w:rPr>
          <w:rFonts w:ascii="FrankRuehl" w:hAnsi="FrankRuehl" w:cs="Miriam"/>
          <w:sz w:val="20"/>
          <w:szCs w:val="20"/>
          <w:rtl/>
          <w:lang w:val="x-none" w:eastAsia="he-IL"/>
        </w:rPr>
        <w:t>ש:</w:t>
      </w:r>
      <w:r w:rsidRPr="00951115">
        <w:rPr>
          <w:rFonts w:ascii="FrankRuehl" w:hAnsi="FrankRuehl" w:cs="Miriam"/>
          <w:b/>
          <w:bCs/>
          <w:sz w:val="20"/>
          <w:szCs w:val="20"/>
          <w:rtl/>
          <w:lang w:val="x-none" w:eastAsia="he-IL"/>
        </w:rPr>
        <w:tab/>
        <w:t>2 מיליון וחצי. כל אחד שם בכיס,</w:t>
      </w:r>
    </w:p>
    <w:p w:rsidR="00765BA7" w:rsidRPr="00951115" w:rsidRDefault="00765BA7" w:rsidP="00765BA7">
      <w:pPr>
        <w:ind w:left="4320" w:right="1134" w:hanging="2880"/>
        <w:jc w:val="both"/>
        <w:rPr>
          <w:rFonts w:ascii="FrankRuehl" w:hAnsi="FrankRuehl" w:cs="Miriam"/>
          <w:b/>
          <w:bCs/>
          <w:sz w:val="20"/>
          <w:szCs w:val="20"/>
          <w:rtl/>
          <w:lang w:val="x-none" w:eastAsia="he-IL"/>
        </w:rPr>
      </w:pPr>
      <w:r w:rsidRPr="00951115">
        <w:rPr>
          <w:rFonts w:ascii="FrankRuehl" w:hAnsi="FrankRuehl" w:cs="Miriam"/>
          <w:sz w:val="20"/>
          <w:szCs w:val="20"/>
          <w:rtl/>
          <w:lang w:val="x-none" w:eastAsia="he-IL"/>
        </w:rPr>
        <w:t>ת:</w:t>
      </w:r>
      <w:r w:rsidRPr="00951115">
        <w:rPr>
          <w:rFonts w:ascii="FrankRuehl" w:hAnsi="FrankRuehl" w:cs="Miriam"/>
          <w:b/>
          <w:bCs/>
          <w:sz w:val="20"/>
          <w:szCs w:val="20"/>
          <w:rtl/>
          <w:lang w:val="x-none" w:eastAsia="he-IL"/>
        </w:rPr>
        <w:tab/>
        <w:t>נכון.</w:t>
      </w:r>
    </w:p>
    <w:p w:rsidR="00765BA7" w:rsidRPr="00951115" w:rsidRDefault="00765BA7" w:rsidP="00765BA7">
      <w:pPr>
        <w:ind w:left="4320" w:right="1134" w:hanging="2880"/>
        <w:jc w:val="both"/>
        <w:rPr>
          <w:rFonts w:ascii="FrankRuehl" w:hAnsi="FrankRuehl" w:cs="Miriam"/>
          <w:b/>
          <w:bCs/>
          <w:sz w:val="20"/>
          <w:szCs w:val="20"/>
          <w:rtl/>
          <w:lang w:val="x-none" w:eastAsia="he-IL"/>
        </w:rPr>
      </w:pPr>
      <w:r w:rsidRPr="00951115">
        <w:rPr>
          <w:rFonts w:ascii="FrankRuehl" w:hAnsi="FrankRuehl" w:cs="Miriam"/>
          <w:sz w:val="20"/>
          <w:szCs w:val="20"/>
          <w:rtl/>
          <w:lang w:val="x-none" w:eastAsia="he-IL"/>
        </w:rPr>
        <w:t>ש:</w:t>
      </w:r>
      <w:r w:rsidRPr="00951115">
        <w:rPr>
          <w:rFonts w:ascii="FrankRuehl" w:hAnsi="FrankRuehl" w:cs="Miriam"/>
          <w:b/>
          <w:bCs/>
          <w:sz w:val="20"/>
          <w:szCs w:val="20"/>
          <w:rtl/>
          <w:lang w:val="x-none" w:eastAsia="he-IL"/>
        </w:rPr>
        <w:tab/>
        <w:t>לא נתתם לו.</w:t>
      </w:r>
    </w:p>
    <w:p w:rsidR="00765BA7" w:rsidRPr="00951115" w:rsidRDefault="00765BA7" w:rsidP="00765BA7">
      <w:pPr>
        <w:ind w:left="4320" w:right="1134" w:hanging="2880"/>
        <w:jc w:val="both"/>
        <w:rPr>
          <w:rFonts w:ascii="FrankRuehl" w:hAnsi="FrankRuehl" w:cs="Miriam"/>
          <w:b/>
          <w:bCs/>
          <w:sz w:val="20"/>
          <w:szCs w:val="20"/>
          <w:rtl/>
          <w:lang w:val="x-none" w:eastAsia="he-IL"/>
        </w:rPr>
      </w:pPr>
      <w:r w:rsidRPr="00951115">
        <w:rPr>
          <w:rFonts w:ascii="FrankRuehl" w:hAnsi="FrankRuehl" w:cs="Miriam"/>
          <w:sz w:val="20"/>
          <w:szCs w:val="20"/>
          <w:rtl/>
          <w:lang w:val="x-none" w:eastAsia="he-IL"/>
        </w:rPr>
        <w:t>ת:</w:t>
      </w:r>
      <w:r w:rsidRPr="00951115">
        <w:rPr>
          <w:rFonts w:ascii="FrankRuehl" w:hAnsi="FrankRuehl" w:cs="Miriam"/>
          <w:b/>
          <w:bCs/>
          <w:sz w:val="20"/>
          <w:szCs w:val="20"/>
          <w:rtl/>
          <w:lang w:val="x-none" w:eastAsia="he-IL"/>
        </w:rPr>
        <w:tab/>
        <w:t>נכון.</w:t>
      </w:r>
    </w:p>
    <w:p w:rsidR="00765BA7" w:rsidRPr="00951115" w:rsidRDefault="00765BA7" w:rsidP="00765BA7">
      <w:pPr>
        <w:ind w:left="3600" w:right="1134" w:firstLine="720"/>
        <w:jc w:val="both"/>
        <w:rPr>
          <w:rFonts w:ascii="FrankRuehl" w:hAnsi="FrankRuehl" w:cs="Miriam"/>
          <w:b/>
          <w:bCs/>
          <w:sz w:val="20"/>
          <w:szCs w:val="20"/>
          <w:rtl/>
          <w:lang w:val="x-none" w:eastAsia="he-IL"/>
        </w:rPr>
      </w:pPr>
      <w:r w:rsidRPr="00951115">
        <w:rPr>
          <w:rFonts w:ascii="FrankRuehl" w:hAnsi="FrankRuehl" w:cs="Miriam"/>
          <w:b/>
          <w:bCs/>
          <w:sz w:val="20"/>
          <w:szCs w:val="20"/>
          <w:rtl/>
          <w:lang w:val="x-none" w:eastAsia="he-IL"/>
        </w:rPr>
        <w:t>(מדברים ביחד)</w:t>
      </w:r>
    </w:p>
    <w:p w:rsidR="00765BA7" w:rsidRPr="00951115" w:rsidRDefault="00765BA7" w:rsidP="00765BA7">
      <w:pPr>
        <w:ind w:left="4320" w:right="1134" w:hanging="2880"/>
        <w:jc w:val="both"/>
        <w:rPr>
          <w:rFonts w:ascii="FrankRuehl" w:hAnsi="FrankRuehl" w:cs="Miriam"/>
          <w:b/>
          <w:bCs/>
          <w:sz w:val="20"/>
          <w:szCs w:val="20"/>
          <w:rtl/>
          <w:lang w:val="x-none" w:eastAsia="he-IL"/>
        </w:rPr>
      </w:pPr>
      <w:r w:rsidRPr="00951115">
        <w:rPr>
          <w:rFonts w:ascii="FrankRuehl" w:hAnsi="FrankRuehl" w:cs="Miriam"/>
          <w:sz w:val="20"/>
          <w:szCs w:val="20"/>
          <w:rtl/>
          <w:lang w:val="x-none" w:eastAsia="he-IL"/>
        </w:rPr>
        <w:t xml:space="preserve">העד, מר </w:t>
      </w:r>
      <w:r w:rsidR="003E4826">
        <w:rPr>
          <w:rFonts w:ascii="FrankRuehl" w:hAnsi="FrankRuehl" w:cs="Miriam"/>
          <w:sz w:val="20"/>
          <w:szCs w:val="20"/>
          <w:rtl/>
          <w:lang w:val="x-none" w:eastAsia="he-IL"/>
        </w:rPr>
        <w:t>ר'</w:t>
      </w:r>
      <w:r w:rsidRPr="00951115">
        <w:rPr>
          <w:rFonts w:ascii="FrankRuehl" w:hAnsi="FrankRuehl" w:cs="Miriam"/>
          <w:sz w:val="20"/>
          <w:szCs w:val="20"/>
          <w:rtl/>
          <w:lang w:val="x-none" w:eastAsia="he-IL"/>
        </w:rPr>
        <w:t>, אמ.:</w:t>
      </w:r>
      <w:r w:rsidRPr="00951115">
        <w:rPr>
          <w:rFonts w:ascii="FrankRuehl" w:hAnsi="FrankRuehl" w:cs="Miriam"/>
          <w:b/>
          <w:bCs/>
          <w:sz w:val="20"/>
          <w:szCs w:val="20"/>
          <w:rtl/>
          <w:lang w:val="x-none" w:eastAsia="he-IL"/>
        </w:rPr>
        <w:tab/>
        <w:t xml:space="preserve">אני לא, אני אומר לך, חילקנו כסף שווה בשווה. </w:t>
      </w:r>
    </w:p>
    <w:p w:rsidR="00765BA7" w:rsidRPr="00951115" w:rsidRDefault="00765BA7" w:rsidP="00765BA7">
      <w:pPr>
        <w:ind w:left="4320" w:right="1134" w:hanging="2880"/>
        <w:jc w:val="both"/>
        <w:rPr>
          <w:rFonts w:ascii="FrankRuehl" w:hAnsi="FrankRuehl" w:cs="Miriam"/>
          <w:sz w:val="20"/>
          <w:szCs w:val="20"/>
          <w:rtl/>
          <w:lang w:val="x-none" w:eastAsia="he-IL"/>
        </w:rPr>
      </w:pPr>
      <w:r w:rsidRPr="00951115">
        <w:rPr>
          <w:rFonts w:ascii="FrankRuehl" w:hAnsi="FrankRuehl" w:cs="Miriam"/>
          <w:sz w:val="20"/>
          <w:szCs w:val="20"/>
          <w:rtl/>
          <w:lang w:val="x-none" w:eastAsia="he-IL"/>
        </w:rPr>
        <w:t>עו"ד ג'ריס:</w:t>
      </w:r>
      <w:r w:rsidRPr="00951115">
        <w:rPr>
          <w:rFonts w:ascii="FrankRuehl" w:hAnsi="FrankRuehl" w:cs="Miriam"/>
          <w:sz w:val="20"/>
          <w:szCs w:val="20"/>
          <w:rtl/>
          <w:lang w:val="x-none" w:eastAsia="he-IL"/>
        </w:rPr>
        <w:tab/>
        <w:t>שווה בשווה. הבנתי. אז למה, תגיד לי למה, זה שווה בשווה, איך הגעתם לסכום הזה?</w:t>
      </w:r>
    </w:p>
    <w:p w:rsidR="00765BA7" w:rsidRPr="00951115" w:rsidRDefault="00765BA7" w:rsidP="00765BA7">
      <w:pPr>
        <w:ind w:left="4320" w:right="1134" w:hanging="2880"/>
        <w:jc w:val="both"/>
        <w:rPr>
          <w:rFonts w:ascii="FrankRuehl" w:hAnsi="FrankRuehl" w:cs="Miriam"/>
          <w:sz w:val="20"/>
          <w:szCs w:val="20"/>
          <w:rtl/>
          <w:lang w:val="x-none" w:eastAsia="he-IL"/>
        </w:rPr>
      </w:pPr>
      <w:r w:rsidRPr="00951115">
        <w:rPr>
          <w:rFonts w:ascii="FrankRuehl" w:hAnsi="FrankRuehl" w:cs="Miriam"/>
          <w:sz w:val="20"/>
          <w:szCs w:val="20"/>
          <w:rtl/>
          <w:lang w:val="x-none" w:eastAsia="he-IL"/>
        </w:rPr>
        <w:t>ת:</w:t>
      </w:r>
      <w:r w:rsidRPr="00951115">
        <w:rPr>
          <w:rFonts w:ascii="FrankRuehl" w:hAnsi="FrankRuehl" w:cs="Miriam"/>
          <w:sz w:val="20"/>
          <w:szCs w:val="20"/>
          <w:rtl/>
          <w:lang w:val="x-none" w:eastAsia="he-IL"/>
        </w:rPr>
        <w:tab/>
        <w:t>איזה סכום?</w:t>
      </w:r>
    </w:p>
    <w:p w:rsidR="00765BA7" w:rsidRPr="00951115" w:rsidRDefault="00765BA7" w:rsidP="00765BA7">
      <w:pPr>
        <w:ind w:left="4320" w:right="1134" w:hanging="2880"/>
        <w:jc w:val="both"/>
        <w:rPr>
          <w:rFonts w:ascii="FrankRuehl" w:hAnsi="FrankRuehl" w:cs="Miriam"/>
          <w:sz w:val="20"/>
          <w:szCs w:val="20"/>
          <w:rtl/>
          <w:lang w:val="x-none" w:eastAsia="he-IL"/>
        </w:rPr>
      </w:pPr>
      <w:r w:rsidRPr="00951115">
        <w:rPr>
          <w:rFonts w:ascii="FrankRuehl" w:hAnsi="FrankRuehl" w:cs="Miriam"/>
          <w:sz w:val="20"/>
          <w:szCs w:val="20"/>
          <w:rtl/>
          <w:lang w:val="x-none" w:eastAsia="he-IL"/>
        </w:rPr>
        <w:t>ש:</w:t>
      </w:r>
      <w:r w:rsidRPr="00951115">
        <w:rPr>
          <w:rFonts w:ascii="FrankRuehl" w:hAnsi="FrankRuehl" w:cs="Miriam"/>
          <w:sz w:val="20"/>
          <w:szCs w:val="20"/>
          <w:rtl/>
          <w:lang w:val="x-none" w:eastAsia="he-IL"/>
        </w:rPr>
        <w:tab/>
        <w:t>של ה-, אחד לקח 1,167,000.</w:t>
      </w:r>
    </w:p>
    <w:p w:rsidR="00765BA7" w:rsidRPr="00951115" w:rsidRDefault="00765BA7" w:rsidP="00765BA7">
      <w:pPr>
        <w:ind w:left="4320" w:right="1134" w:hanging="2880"/>
        <w:jc w:val="both"/>
        <w:rPr>
          <w:rFonts w:ascii="FrankRuehl" w:hAnsi="FrankRuehl" w:cs="Miriam"/>
          <w:sz w:val="20"/>
          <w:szCs w:val="20"/>
          <w:rtl/>
          <w:lang w:val="x-none" w:eastAsia="he-IL"/>
        </w:rPr>
      </w:pPr>
      <w:r w:rsidRPr="00951115">
        <w:rPr>
          <w:rFonts w:ascii="FrankRuehl" w:hAnsi="FrankRuehl" w:cs="Miriam"/>
          <w:sz w:val="20"/>
          <w:szCs w:val="20"/>
          <w:rtl/>
          <w:lang w:val="x-none" w:eastAsia="he-IL"/>
        </w:rPr>
        <w:t>ת:</w:t>
      </w:r>
      <w:r w:rsidRPr="00951115">
        <w:rPr>
          <w:rFonts w:ascii="FrankRuehl" w:hAnsi="FrankRuehl" w:cs="Miriam"/>
          <w:sz w:val="20"/>
          <w:szCs w:val="20"/>
          <w:rtl/>
          <w:lang w:val="x-none" w:eastAsia="he-IL"/>
        </w:rPr>
        <w:tab/>
        <w:t>נו?</w:t>
      </w:r>
    </w:p>
    <w:p w:rsidR="00765BA7" w:rsidRPr="00951115" w:rsidRDefault="00765BA7" w:rsidP="00765BA7">
      <w:pPr>
        <w:ind w:left="4320" w:right="1134" w:hanging="2880"/>
        <w:jc w:val="both"/>
        <w:rPr>
          <w:rFonts w:ascii="FrankRuehl" w:hAnsi="FrankRuehl" w:cs="Miriam"/>
          <w:sz w:val="20"/>
          <w:szCs w:val="20"/>
          <w:rtl/>
          <w:lang w:val="x-none" w:eastAsia="he-IL"/>
        </w:rPr>
      </w:pPr>
      <w:r w:rsidRPr="00951115">
        <w:rPr>
          <w:rFonts w:ascii="FrankRuehl" w:hAnsi="FrankRuehl" w:cs="Miriam"/>
          <w:sz w:val="20"/>
          <w:szCs w:val="20"/>
          <w:rtl/>
          <w:lang w:val="x-none" w:eastAsia="he-IL"/>
        </w:rPr>
        <w:t>ש:</w:t>
      </w:r>
      <w:r w:rsidRPr="00951115">
        <w:rPr>
          <w:rFonts w:ascii="FrankRuehl" w:hAnsi="FrankRuehl" w:cs="Miriam"/>
          <w:sz w:val="20"/>
          <w:szCs w:val="20"/>
          <w:rtl/>
          <w:lang w:val="x-none" w:eastAsia="he-IL"/>
        </w:rPr>
        <w:tab/>
        <w:t>ואחד לקח 1,158,000.</w:t>
      </w:r>
    </w:p>
    <w:p w:rsidR="00765BA7" w:rsidRPr="00951115" w:rsidRDefault="00765BA7" w:rsidP="00765BA7">
      <w:pPr>
        <w:ind w:left="4320" w:right="1134" w:hanging="2880"/>
        <w:jc w:val="both"/>
        <w:rPr>
          <w:rFonts w:ascii="FrankRuehl" w:hAnsi="FrankRuehl" w:cs="Miriam"/>
          <w:sz w:val="20"/>
          <w:szCs w:val="20"/>
          <w:rtl/>
          <w:lang w:val="x-none" w:eastAsia="he-IL"/>
        </w:rPr>
      </w:pPr>
      <w:r w:rsidRPr="00951115">
        <w:rPr>
          <w:rFonts w:ascii="FrankRuehl" w:hAnsi="FrankRuehl" w:cs="Miriam"/>
          <w:sz w:val="20"/>
          <w:szCs w:val="20"/>
          <w:rtl/>
          <w:lang w:val="x-none" w:eastAsia="he-IL"/>
        </w:rPr>
        <w:t>ת:</w:t>
      </w:r>
      <w:r w:rsidRPr="00951115">
        <w:rPr>
          <w:rFonts w:ascii="FrankRuehl" w:hAnsi="FrankRuehl" w:cs="Miriam"/>
          <w:sz w:val="20"/>
          <w:szCs w:val="20"/>
          <w:rtl/>
          <w:lang w:val="x-none" w:eastAsia="he-IL"/>
        </w:rPr>
        <w:tab/>
        <w:t>נכון.</w:t>
      </w:r>
    </w:p>
    <w:p w:rsidR="00765BA7" w:rsidRPr="00951115" w:rsidRDefault="00765BA7" w:rsidP="00765BA7">
      <w:pPr>
        <w:ind w:left="4320" w:right="1134" w:hanging="2880"/>
        <w:jc w:val="both"/>
        <w:rPr>
          <w:rFonts w:ascii="FrankRuehl" w:hAnsi="FrankRuehl" w:cs="Miriam"/>
          <w:sz w:val="20"/>
          <w:szCs w:val="20"/>
          <w:rtl/>
          <w:lang w:val="x-none" w:eastAsia="he-IL"/>
        </w:rPr>
      </w:pPr>
      <w:r w:rsidRPr="00951115">
        <w:rPr>
          <w:rFonts w:ascii="FrankRuehl" w:hAnsi="FrankRuehl" w:cs="Miriam"/>
          <w:sz w:val="20"/>
          <w:szCs w:val="20"/>
          <w:rtl/>
          <w:lang w:val="x-none" w:eastAsia="he-IL"/>
        </w:rPr>
        <w:t>ש:</w:t>
      </w:r>
      <w:r w:rsidRPr="00951115">
        <w:rPr>
          <w:rFonts w:ascii="FrankRuehl" w:hAnsi="FrankRuehl" w:cs="Miriam"/>
          <w:sz w:val="20"/>
          <w:szCs w:val="20"/>
          <w:rtl/>
          <w:lang w:val="x-none" w:eastAsia="he-IL"/>
        </w:rPr>
        <w:tab/>
        <w:t>למה?</w:t>
      </w:r>
    </w:p>
    <w:p w:rsidR="00765BA7" w:rsidRPr="00951115" w:rsidRDefault="00765BA7" w:rsidP="00765BA7">
      <w:pPr>
        <w:ind w:left="4320" w:right="1134" w:hanging="2880"/>
        <w:jc w:val="both"/>
        <w:rPr>
          <w:rFonts w:ascii="FrankRuehl" w:hAnsi="FrankRuehl" w:cs="Miriam"/>
          <w:sz w:val="20"/>
          <w:szCs w:val="20"/>
          <w:rtl/>
          <w:lang w:val="x-none" w:eastAsia="he-IL"/>
        </w:rPr>
      </w:pPr>
      <w:r w:rsidRPr="00951115">
        <w:rPr>
          <w:rFonts w:ascii="FrankRuehl" w:hAnsi="FrankRuehl" w:cs="Miriam"/>
          <w:sz w:val="20"/>
          <w:szCs w:val="20"/>
          <w:rtl/>
          <w:lang w:val="x-none" w:eastAsia="he-IL"/>
        </w:rPr>
        <w:t>ת:</w:t>
      </w:r>
      <w:r w:rsidRPr="00951115">
        <w:rPr>
          <w:rFonts w:ascii="FrankRuehl" w:hAnsi="FrankRuehl" w:cs="Miriam"/>
          <w:sz w:val="20"/>
          <w:szCs w:val="20"/>
          <w:rtl/>
          <w:lang w:val="x-none" w:eastAsia="he-IL"/>
        </w:rPr>
        <w:tab/>
        <w:t>מה למה?</w:t>
      </w:r>
    </w:p>
    <w:p w:rsidR="00765BA7" w:rsidRPr="00951115" w:rsidRDefault="00765BA7" w:rsidP="00765BA7">
      <w:pPr>
        <w:ind w:left="4320" w:right="1134" w:hanging="2880"/>
        <w:jc w:val="both"/>
        <w:rPr>
          <w:rFonts w:ascii="FrankRuehl" w:hAnsi="FrankRuehl" w:cs="Miriam"/>
          <w:sz w:val="20"/>
          <w:szCs w:val="20"/>
          <w:rtl/>
          <w:lang w:val="x-none" w:eastAsia="he-IL"/>
        </w:rPr>
      </w:pPr>
      <w:r w:rsidRPr="00951115">
        <w:rPr>
          <w:rFonts w:ascii="FrankRuehl" w:hAnsi="FrankRuehl" w:cs="Miriam"/>
          <w:sz w:val="20"/>
          <w:szCs w:val="20"/>
          <w:rtl/>
          <w:lang w:val="x-none" w:eastAsia="he-IL"/>
        </w:rPr>
        <w:t>ש:</w:t>
      </w:r>
      <w:r w:rsidRPr="00951115">
        <w:rPr>
          <w:rFonts w:ascii="FrankRuehl" w:hAnsi="FrankRuehl" w:cs="Miriam"/>
          <w:sz w:val="20"/>
          <w:szCs w:val="20"/>
          <w:rtl/>
          <w:lang w:val="x-none" w:eastAsia="he-IL"/>
        </w:rPr>
        <w:tab/>
        <w:t>למה לא אותו דבר בדיוק?</w:t>
      </w:r>
    </w:p>
    <w:p w:rsidR="00765BA7" w:rsidRPr="00951115" w:rsidRDefault="00765BA7" w:rsidP="00765BA7">
      <w:pPr>
        <w:ind w:left="4320" w:right="1134" w:hanging="2880"/>
        <w:jc w:val="both"/>
        <w:rPr>
          <w:rFonts w:ascii="FrankRuehl" w:hAnsi="FrankRuehl" w:cs="Miriam"/>
          <w:sz w:val="20"/>
          <w:szCs w:val="20"/>
          <w:rtl/>
          <w:lang w:val="x-none" w:eastAsia="he-IL"/>
        </w:rPr>
      </w:pPr>
      <w:r w:rsidRPr="00951115">
        <w:rPr>
          <w:rFonts w:ascii="FrankRuehl" w:hAnsi="FrankRuehl" w:cs="Miriam"/>
          <w:sz w:val="20"/>
          <w:szCs w:val="20"/>
          <w:rtl/>
          <w:lang w:val="x-none" w:eastAsia="he-IL"/>
        </w:rPr>
        <w:t>ת:</w:t>
      </w:r>
      <w:r w:rsidRPr="00951115">
        <w:rPr>
          <w:rFonts w:ascii="FrankRuehl" w:hAnsi="FrankRuehl" w:cs="Miriam"/>
          <w:sz w:val="20"/>
          <w:szCs w:val="20"/>
          <w:rtl/>
          <w:lang w:val="x-none" w:eastAsia="he-IL"/>
        </w:rPr>
        <w:tab/>
        <w:t>יצא פלוס מינוס כמה אלפים. מה הבעיה?</w:t>
      </w:r>
    </w:p>
    <w:p w:rsidR="00765BA7" w:rsidRPr="00951115" w:rsidRDefault="00765BA7" w:rsidP="00765BA7">
      <w:pPr>
        <w:ind w:left="4320" w:right="1134" w:hanging="2880"/>
        <w:jc w:val="both"/>
        <w:rPr>
          <w:rFonts w:ascii="FrankRuehl" w:hAnsi="FrankRuehl" w:cs="Miriam"/>
          <w:sz w:val="20"/>
          <w:szCs w:val="20"/>
          <w:rtl/>
          <w:lang w:val="x-none" w:eastAsia="he-IL"/>
        </w:rPr>
      </w:pPr>
      <w:r w:rsidRPr="00951115">
        <w:rPr>
          <w:rFonts w:ascii="FrankRuehl" w:hAnsi="FrankRuehl" w:cs="Miriam"/>
          <w:sz w:val="20"/>
          <w:szCs w:val="20"/>
          <w:rtl/>
          <w:lang w:val="x-none" w:eastAsia="he-IL"/>
        </w:rPr>
        <w:t>ש:</w:t>
      </w:r>
      <w:r w:rsidRPr="00951115">
        <w:rPr>
          <w:rFonts w:ascii="FrankRuehl" w:hAnsi="FrankRuehl" w:cs="Miriam"/>
          <w:sz w:val="20"/>
          <w:szCs w:val="20"/>
          <w:rtl/>
          <w:lang w:val="x-none" w:eastAsia="he-IL"/>
        </w:rPr>
        <w:tab/>
        <w:t>אני שואל, תסביר לי.</w:t>
      </w:r>
    </w:p>
    <w:p w:rsidR="00765BA7" w:rsidRPr="00951115" w:rsidRDefault="00765BA7" w:rsidP="00765BA7">
      <w:pPr>
        <w:ind w:left="4320" w:right="1134" w:hanging="2880"/>
        <w:jc w:val="both"/>
        <w:rPr>
          <w:rFonts w:ascii="FrankRuehl" w:hAnsi="FrankRuehl" w:cs="Miriam"/>
          <w:sz w:val="20"/>
          <w:szCs w:val="20"/>
          <w:rtl/>
          <w:lang w:val="x-none" w:eastAsia="he-IL"/>
        </w:rPr>
      </w:pPr>
      <w:r w:rsidRPr="00951115">
        <w:rPr>
          <w:rFonts w:ascii="FrankRuehl" w:hAnsi="FrankRuehl" w:cs="Miriam"/>
          <w:sz w:val="20"/>
          <w:szCs w:val="20"/>
          <w:rtl/>
          <w:lang w:val="x-none" w:eastAsia="he-IL"/>
        </w:rPr>
        <w:t>ת:</w:t>
      </w:r>
      <w:r w:rsidRPr="00951115">
        <w:rPr>
          <w:rFonts w:ascii="FrankRuehl" w:hAnsi="FrankRuehl" w:cs="Miriam"/>
          <w:sz w:val="20"/>
          <w:szCs w:val="20"/>
          <w:rtl/>
          <w:lang w:val="x-none" w:eastAsia="he-IL"/>
        </w:rPr>
        <w:tab/>
        <w:t>מה להסביר לך? אם, אם הוא לקח יותר מ-10,000,</w:t>
      </w:r>
    </w:p>
    <w:p w:rsidR="00765BA7" w:rsidRPr="00951115" w:rsidRDefault="00765BA7" w:rsidP="00765BA7">
      <w:pPr>
        <w:ind w:left="4320" w:right="1134" w:hanging="2880"/>
        <w:jc w:val="both"/>
        <w:rPr>
          <w:rFonts w:ascii="FrankRuehl" w:hAnsi="FrankRuehl" w:cs="Miriam"/>
          <w:sz w:val="20"/>
          <w:szCs w:val="20"/>
          <w:rtl/>
          <w:lang w:val="x-none" w:eastAsia="he-IL"/>
        </w:rPr>
      </w:pPr>
      <w:r w:rsidRPr="00951115">
        <w:rPr>
          <w:rFonts w:ascii="FrankRuehl" w:hAnsi="FrankRuehl" w:cs="Miriam"/>
          <w:sz w:val="20"/>
          <w:szCs w:val="20"/>
          <w:rtl/>
          <w:lang w:val="x-none" w:eastAsia="he-IL"/>
        </w:rPr>
        <w:t>כב' הש' גורביץ' עובדיה:</w:t>
      </w:r>
      <w:r w:rsidRPr="00951115">
        <w:rPr>
          <w:rFonts w:ascii="FrankRuehl" w:hAnsi="FrankRuehl" w:cs="Miriam"/>
          <w:sz w:val="20"/>
          <w:szCs w:val="20"/>
          <w:rtl/>
          <w:lang w:val="x-none" w:eastAsia="he-IL"/>
        </w:rPr>
        <w:tab/>
        <w:t xml:space="preserve">מר </w:t>
      </w:r>
      <w:r w:rsidR="003E4826">
        <w:rPr>
          <w:rFonts w:ascii="FrankRuehl" w:hAnsi="FrankRuehl" w:cs="Miriam"/>
          <w:sz w:val="20"/>
          <w:szCs w:val="20"/>
          <w:rtl/>
          <w:lang w:val="x-none" w:eastAsia="he-IL"/>
        </w:rPr>
        <w:t>ר'</w:t>
      </w:r>
      <w:r w:rsidRPr="00951115">
        <w:rPr>
          <w:rFonts w:ascii="FrankRuehl" w:hAnsi="FrankRuehl" w:cs="Miriam"/>
          <w:sz w:val="20"/>
          <w:szCs w:val="20"/>
          <w:rtl/>
          <w:lang w:val="x-none" w:eastAsia="he-IL"/>
        </w:rPr>
        <w:t>, תעשה לנו את המתמטיקה. תסביר לנו את המתמטיקה.</w:t>
      </w:r>
    </w:p>
    <w:p w:rsidR="00765BA7" w:rsidRPr="00951115" w:rsidRDefault="00765BA7" w:rsidP="00765BA7">
      <w:pPr>
        <w:ind w:left="2880" w:right="1134" w:hanging="1440"/>
        <w:jc w:val="both"/>
        <w:rPr>
          <w:rFonts w:ascii="FrankRuehl" w:hAnsi="FrankRuehl" w:cs="Miriam"/>
          <w:sz w:val="20"/>
          <w:szCs w:val="20"/>
          <w:rtl/>
          <w:lang w:val="x-none" w:eastAsia="he-IL"/>
        </w:rPr>
      </w:pPr>
      <w:r w:rsidRPr="00951115">
        <w:rPr>
          <w:rFonts w:ascii="FrankRuehl" w:hAnsi="FrankRuehl" w:cs="Miriam"/>
          <w:sz w:val="20"/>
          <w:szCs w:val="20"/>
          <w:rtl/>
          <w:lang w:val="x-none" w:eastAsia="he-IL"/>
        </w:rPr>
        <w:t xml:space="preserve">העד, מר </w:t>
      </w:r>
      <w:r w:rsidR="003E4826">
        <w:rPr>
          <w:rFonts w:ascii="FrankRuehl" w:hAnsi="FrankRuehl" w:cs="Miriam"/>
          <w:sz w:val="20"/>
          <w:szCs w:val="20"/>
          <w:rtl/>
          <w:lang w:val="x-none" w:eastAsia="he-IL"/>
        </w:rPr>
        <w:t>ר'</w:t>
      </w:r>
      <w:r w:rsidRPr="00951115">
        <w:rPr>
          <w:rFonts w:ascii="FrankRuehl" w:hAnsi="FrankRuehl" w:cs="Miriam"/>
          <w:sz w:val="20"/>
          <w:szCs w:val="20"/>
          <w:rtl/>
          <w:lang w:val="x-none" w:eastAsia="he-IL"/>
        </w:rPr>
        <w:t>, אמ.:</w:t>
      </w:r>
      <w:r w:rsidRPr="00951115">
        <w:rPr>
          <w:rFonts w:ascii="FrankRuehl" w:hAnsi="FrankRuehl" w:cs="Miriam"/>
          <w:sz w:val="20"/>
          <w:szCs w:val="20"/>
          <w:rtl/>
          <w:lang w:val="x-none" w:eastAsia="he-IL"/>
        </w:rPr>
        <w:tab/>
      </w:r>
      <w:r w:rsidRPr="00951115">
        <w:rPr>
          <w:rFonts w:ascii="FrankRuehl" w:hAnsi="FrankRuehl" w:cs="Miriam"/>
          <w:sz w:val="20"/>
          <w:szCs w:val="20"/>
          <w:rtl/>
          <w:lang w:val="x-none" w:eastAsia="he-IL"/>
        </w:rPr>
        <w:tab/>
        <w:t>סליחה?</w:t>
      </w:r>
    </w:p>
    <w:p w:rsidR="00765BA7" w:rsidRPr="00951115" w:rsidRDefault="00765BA7" w:rsidP="00765BA7">
      <w:pPr>
        <w:ind w:left="2160" w:right="1134" w:hanging="720"/>
        <w:jc w:val="both"/>
        <w:rPr>
          <w:rFonts w:ascii="FrankRuehl" w:hAnsi="FrankRuehl" w:cs="Miriam"/>
          <w:sz w:val="20"/>
          <w:szCs w:val="20"/>
          <w:rtl/>
          <w:lang w:val="x-none" w:eastAsia="he-IL"/>
        </w:rPr>
      </w:pPr>
      <w:r w:rsidRPr="00951115">
        <w:rPr>
          <w:rFonts w:ascii="FrankRuehl" w:hAnsi="FrankRuehl" w:cs="Miriam"/>
          <w:sz w:val="20"/>
          <w:szCs w:val="20"/>
          <w:rtl/>
          <w:lang w:val="x-none" w:eastAsia="he-IL"/>
        </w:rPr>
        <w:t>כב' הש' גורביץ' עובדיה:</w:t>
      </w:r>
      <w:r w:rsidRPr="00951115">
        <w:rPr>
          <w:rFonts w:ascii="FrankRuehl" w:hAnsi="FrankRuehl" w:cs="Miriam"/>
          <w:sz w:val="20"/>
          <w:szCs w:val="20"/>
          <w:rtl/>
          <w:lang w:val="x-none" w:eastAsia="he-IL"/>
        </w:rPr>
        <w:tab/>
        <w:t>תסביר את המתמטיקה.</w:t>
      </w:r>
    </w:p>
    <w:p w:rsidR="00765BA7" w:rsidRPr="00951115" w:rsidRDefault="00765BA7" w:rsidP="00765BA7">
      <w:pPr>
        <w:ind w:left="3600" w:right="1134" w:hanging="2160"/>
        <w:jc w:val="both"/>
        <w:rPr>
          <w:rFonts w:ascii="FrankRuehl" w:hAnsi="FrankRuehl" w:cs="Miriam"/>
          <w:sz w:val="20"/>
          <w:szCs w:val="20"/>
          <w:rtl/>
          <w:lang w:val="x-none" w:eastAsia="he-IL"/>
        </w:rPr>
      </w:pPr>
      <w:r w:rsidRPr="00951115">
        <w:rPr>
          <w:rFonts w:ascii="FrankRuehl" w:hAnsi="FrankRuehl" w:cs="Miriam"/>
          <w:sz w:val="20"/>
          <w:szCs w:val="20"/>
          <w:rtl/>
          <w:lang w:val="x-none" w:eastAsia="he-IL"/>
        </w:rPr>
        <w:t>עו"ד ג'ריס:</w:t>
      </w:r>
      <w:r w:rsidRPr="00951115">
        <w:rPr>
          <w:rFonts w:ascii="FrankRuehl" w:hAnsi="FrankRuehl" w:cs="Miriam"/>
          <w:sz w:val="20"/>
          <w:szCs w:val="20"/>
          <w:rtl/>
          <w:lang w:val="x-none" w:eastAsia="he-IL"/>
        </w:rPr>
        <w:tab/>
      </w:r>
      <w:r w:rsidRPr="00951115">
        <w:rPr>
          <w:rFonts w:ascii="FrankRuehl" w:hAnsi="FrankRuehl" w:cs="Miriam"/>
          <w:sz w:val="20"/>
          <w:szCs w:val="20"/>
          <w:rtl/>
          <w:lang w:val="x-none" w:eastAsia="he-IL"/>
        </w:rPr>
        <w:tab/>
        <w:t>איך הגעתם לסכום הזה?</w:t>
      </w:r>
    </w:p>
    <w:p w:rsidR="00765BA7" w:rsidRPr="00951115" w:rsidRDefault="00765BA7" w:rsidP="00765BA7">
      <w:pPr>
        <w:ind w:left="2880" w:right="1134" w:hanging="1440"/>
        <w:jc w:val="both"/>
        <w:rPr>
          <w:rFonts w:ascii="FrankRuehl" w:hAnsi="FrankRuehl" w:cs="Miriam"/>
          <w:b/>
          <w:bCs/>
          <w:sz w:val="20"/>
          <w:szCs w:val="20"/>
          <w:rtl/>
          <w:lang w:val="x-none" w:eastAsia="he-IL"/>
        </w:rPr>
      </w:pPr>
      <w:r w:rsidRPr="00951115">
        <w:rPr>
          <w:rFonts w:ascii="FrankRuehl" w:hAnsi="FrankRuehl" w:cs="Miriam"/>
          <w:sz w:val="20"/>
          <w:szCs w:val="20"/>
          <w:rtl/>
          <w:lang w:val="x-none" w:eastAsia="he-IL"/>
        </w:rPr>
        <w:t xml:space="preserve">העד, מר </w:t>
      </w:r>
      <w:r w:rsidR="003E4826">
        <w:rPr>
          <w:rFonts w:ascii="FrankRuehl" w:hAnsi="FrankRuehl" w:cs="Miriam"/>
          <w:sz w:val="20"/>
          <w:szCs w:val="20"/>
          <w:rtl/>
          <w:lang w:val="x-none" w:eastAsia="he-IL"/>
        </w:rPr>
        <w:t>ר'</w:t>
      </w:r>
      <w:r w:rsidRPr="00951115">
        <w:rPr>
          <w:rFonts w:ascii="FrankRuehl" w:hAnsi="FrankRuehl" w:cs="Miriam"/>
          <w:sz w:val="20"/>
          <w:szCs w:val="20"/>
          <w:rtl/>
          <w:lang w:val="x-none" w:eastAsia="he-IL"/>
        </w:rPr>
        <w:t>, אמ.:</w:t>
      </w:r>
      <w:r w:rsidRPr="00951115">
        <w:rPr>
          <w:rFonts w:ascii="FrankRuehl" w:hAnsi="FrankRuehl" w:cs="Miriam"/>
          <w:sz w:val="20"/>
          <w:szCs w:val="20"/>
          <w:rtl/>
          <w:lang w:val="x-none" w:eastAsia="he-IL"/>
        </w:rPr>
        <w:tab/>
      </w:r>
      <w:r w:rsidRPr="00951115">
        <w:rPr>
          <w:rFonts w:ascii="FrankRuehl" w:hAnsi="FrankRuehl" w:cs="Miriam"/>
          <w:b/>
          <w:bCs/>
          <w:sz w:val="20"/>
          <w:szCs w:val="20"/>
          <w:rtl/>
          <w:lang w:val="x-none" w:eastAsia="he-IL"/>
        </w:rPr>
        <w:tab/>
        <w:t>ביקשנו מהפקיד,</w:t>
      </w:r>
    </w:p>
    <w:p w:rsidR="00765BA7" w:rsidRPr="00951115" w:rsidRDefault="00765BA7" w:rsidP="00765BA7">
      <w:pPr>
        <w:ind w:left="3600" w:right="1134" w:firstLine="720"/>
        <w:jc w:val="both"/>
        <w:rPr>
          <w:rFonts w:ascii="FrankRuehl" w:hAnsi="FrankRuehl" w:cs="Miriam"/>
          <w:sz w:val="20"/>
          <w:szCs w:val="20"/>
          <w:rtl/>
          <w:lang w:val="x-none" w:eastAsia="he-IL"/>
        </w:rPr>
      </w:pPr>
      <w:r w:rsidRPr="00951115">
        <w:rPr>
          <w:rFonts w:ascii="FrankRuehl" w:hAnsi="FrankRuehl" w:cs="Miriam"/>
          <w:sz w:val="20"/>
          <w:szCs w:val="20"/>
          <w:rtl/>
          <w:lang w:val="x-none" w:eastAsia="he-IL"/>
        </w:rPr>
        <w:t>(קריאות מהאולם)</w:t>
      </w:r>
    </w:p>
    <w:p w:rsidR="00765BA7" w:rsidRPr="00951115" w:rsidRDefault="00765BA7" w:rsidP="00765BA7">
      <w:pPr>
        <w:ind w:left="4320" w:right="1134" w:hanging="2880"/>
        <w:jc w:val="both"/>
        <w:rPr>
          <w:rFonts w:ascii="FrankRuehl" w:hAnsi="FrankRuehl" w:cs="Miriam"/>
          <w:sz w:val="20"/>
          <w:szCs w:val="20"/>
          <w:rtl/>
          <w:lang w:val="x-none" w:eastAsia="he-IL"/>
        </w:rPr>
      </w:pPr>
      <w:r w:rsidRPr="00951115">
        <w:rPr>
          <w:rFonts w:ascii="FrankRuehl" w:hAnsi="FrankRuehl" w:cs="Miriam"/>
          <w:sz w:val="20"/>
          <w:szCs w:val="20"/>
          <w:rtl/>
          <w:lang w:val="x-none" w:eastAsia="he-IL"/>
        </w:rPr>
        <w:t>כב' הש' גורביץ' עובדיה:</w:t>
      </w:r>
      <w:r w:rsidRPr="00951115">
        <w:rPr>
          <w:rFonts w:ascii="FrankRuehl" w:hAnsi="FrankRuehl" w:cs="Miriam"/>
          <w:sz w:val="20"/>
          <w:szCs w:val="20"/>
          <w:rtl/>
          <w:lang w:val="x-none" w:eastAsia="he-IL"/>
        </w:rPr>
        <w:tab/>
        <w:t>רגע, מה זה היה? לא עושים את זה. לא,</w:t>
      </w:r>
    </w:p>
    <w:p w:rsidR="00765BA7" w:rsidRPr="00951115" w:rsidRDefault="00765BA7" w:rsidP="00765BA7">
      <w:pPr>
        <w:ind w:left="2880" w:right="1134" w:hanging="1440"/>
        <w:jc w:val="both"/>
        <w:rPr>
          <w:rFonts w:ascii="FrankRuehl" w:hAnsi="FrankRuehl" w:cs="Miriam"/>
          <w:b/>
          <w:bCs/>
          <w:sz w:val="20"/>
          <w:szCs w:val="20"/>
          <w:rtl/>
          <w:lang w:val="x-none" w:eastAsia="he-IL"/>
        </w:rPr>
      </w:pPr>
      <w:r w:rsidRPr="00951115">
        <w:rPr>
          <w:rFonts w:ascii="FrankRuehl" w:hAnsi="FrankRuehl" w:cs="Miriam"/>
          <w:sz w:val="20"/>
          <w:szCs w:val="20"/>
          <w:rtl/>
          <w:lang w:val="x-none" w:eastAsia="he-IL"/>
        </w:rPr>
        <w:lastRenderedPageBreak/>
        <w:t xml:space="preserve">העד, מר </w:t>
      </w:r>
      <w:r w:rsidR="003E4826">
        <w:rPr>
          <w:rFonts w:ascii="FrankRuehl" w:hAnsi="FrankRuehl" w:cs="Miriam"/>
          <w:sz w:val="20"/>
          <w:szCs w:val="20"/>
          <w:rtl/>
          <w:lang w:val="x-none" w:eastAsia="he-IL"/>
        </w:rPr>
        <w:t>ר'</w:t>
      </w:r>
      <w:r w:rsidRPr="00951115">
        <w:rPr>
          <w:rFonts w:ascii="FrankRuehl" w:hAnsi="FrankRuehl" w:cs="Miriam"/>
          <w:sz w:val="20"/>
          <w:szCs w:val="20"/>
          <w:rtl/>
          <w:lang w:val="x-none" w:eastAsia="he-IL"/>
        </w:rPr>
        <w:t>, אמ.:</w:t>
      </w:r>
      <w:r w:rsidRPr="00951115">
        <w:rPr>
          <w:rFonts w:ascii="FrankRuehl" w:hAnsi="FrankRuehl" w:cs="Miriam"/>
          <w:sz w:val="20"/>
          <w:szCs w:val="20"/>
          <w:rtl/>
          <w:lang w:val="x-none" w:eastAsia="he-IL"/>
        </w:rPr>
        <w:tab/>
      </w:r>
      <w:r w:rsidRPr="00951115">
        <w:rPr>
          <w:rFonts w:ascii="FrankRuehl" w:hAnsi="FrankRuehl" w:cs="Miriam"/>
          <w:b/>
          <w:bCs/>
          <w:sz w:val="20"/>
          <w:szCs w:val="20"/>
          <w:rtl/>
          <w:lang w:val="x-none" w:eastAsia="he-IL"/>
        </w:rPr>
        <w:tab/>
        <w:t>ביקשנו מהפקיד לחלק חצי חצי.</w:t>
      </w:r>
    </w:p>
    <w:p w:rsidR="00765BA7" w:rsidRPr="00951115" w:rsidRDefault="00765BA7" w:rsidP="00765BA7">
      <w:pPr>
        <w:ind w:left="2880" w:right="1134" w:hanging="1440"/>
        <w:jc w:val="both"/>
        <w:rPr>
          <w:rFonts w:ascii="FrankRuehl" w:hAnsi="FrankRuehl" w:cs="Miriam"/>
          <w:b/>
          <w:bCs/>
          <w:sz w:val="20"/>
          <w:szCs w:val="20"/>
          <w:rtl/>
          <w:lang w:val="x-none" w:eastAsia="he-IL"/>
        </w:rPr>
      </w:pPr>
      <w:r w:rsidRPr="00951115">
        <w:rPr>
          <w:rFonts w:ascii="FrankRuehl" w:hAnsi="FrankRuehl" w:cs="Miriam"/>
          <w:sz w:val="20"/>
          <w:szCs w:val="20"/>
          <w:rtl/>
          <w:lang w:val="x-none" w:eastAsia="he-IL"/>
        </w:rPr>
        <w:t>עו"ד ג'ריס:</w:t>
      </w:r>
      <w:r w:rsidRPr="00951115">
        <w:rPr>
          <w:rFonts w:ascii="FrankRuehl" w:hAnsi="FrankRuehl" w:cs="Miriam"/>
          <w:sz w:val="20"/>
          <w:szCs w:val="20"/>
          <w:rtl/>
          <w:lang w:val="x-none" w:eastAsia="he-IL"/>
        </w:rPr>
        <w:tab/>
      </w:r>
      <w:r w:rsidRPr="00951115">
        <w:rPr>
          <w:rFonts w:ascii="FrankRuehl" w:hAnsi="FrankRuehl" w:cs="Miriam"/>
          <w:sz w:val="20"/>
          <w:szCs w:val="20"/>
          <w:rtl/>
          <w:lang w:val="x-none" w:eastAsia="he-IL"/>
        </w:rPr>
        <w:tab/>
      </w:r>
      <w:r w:rsidRPr="00951115">
        <w:rPr>
          <w:rFonts w:ascii="FrankRuehl" w:hAnsi="FrankRuehl" w:cs="Miriam"/>
          <w:b/>
          <w:bCs/>
          <w:sz w:val="20"/>
          <w:szCs w:val="20"/>
          <w:rtl/>
          <w:lang w:val="x-none" w:eastAsia="he-IL"/>
        </w:rPr>
        <w:tab/>
        <w:t>כן.</w:t>
      </w:r>
    </w:p>
    <w:p w:rsidR="00765BA7" w:rsidRPr="00951115" w:rsidRDefault="00765BA7" w:rsidP="00765BA7">
      <w:pPr>
        <w:ind w:left="4320" w:right="1134" w:hanging="2880"/>
        <w:jc w:val="both"/>
        <w:rPr>
          <w:rFonts w:ascii="FrankRuehl" w:hAnsi="FrankRuehl" w:cs="Miriam"/>
          <w:b/>
          <w:bCs/>
          <w:sz w:val="20"/>
          <w:szCs w:val="20"/>
          <w:rtl/>
          <w:lang w:val="x-none" w:eastAsia="he-IL"/>
        </w:rPr>
      </w:pPr>
      <w:r w:rsidRPr="00951115">
        <w:rPr>
          <w:rFonts w:ascii="FrankRuehl" w:hAnsi="FrankRuehl" w:cs="Miriam"/>
          <w:sz w:val="20"/>
          <w:szCs w:val="20"/>
          <w:rtl/>
          <w:lang w:val="x-none" w:eastAsia="he-IL"/>
        </w:rPr>
        <w:t>ת:</w:t>
      </w:r>
      <w:r w:rsidRPr="00951115">
        <w:rPr>
          <w:rFonts w:ascii="FrankRuehl" w:hAnsi="FrankRuehl" w:cs="Miriam"/>
          <w:b/>
          <w:bCs/>
          <w:sz w:val="20"/>
          <w:szCs w:val="20"/>
          <w:rtl/>
          <w:lang w:val="x-none" w:eastAsia="he-IL"/>
        </w:rPr>
        <w:tab/>
        <w:t>יצא ככה הפרש של, לא יודע, 20, 30,000 שקל".</w:t>
      </w:r>
    </w:p>
    <w:p w:rsidR="00765BA7" w:rsidRDefault="00765BA7" w:rsidP="00765BA7">
      <w:pPr>
        <w:ind w:right="1134"/>
        <w:jc w:val="both"/>
        <w:rPr>
          <w:rFonts w:ascii="FrankRuehl" w:hAnsi="FrankRuehl" w:cs="FrankRuehl"/>
          <w:sz w:val="28"/>
          <w:szCs w:val="28"/>
          <w:rtl/>
          <w:lang w:val="x-none" w:eastAsia="he-IL"/>
        </w:rPr>
      </w:pPr>
    </w:p>
    <w:p w:rsidR="00765BA7" w:rsidRDefault="00765BA7" w:rsidP="0045483D">
      <w:pPr>
        <w:spacing w:line="360" w:lineRule="auto"/>
        <w:ind w:left="720" w:right="1134" w:firstLine="720"/>
        <w:jc w:val="both"/>
        <w:rPr>
          <w:rFonts w:ascii="FrankRuehl" w:hAnsi="FrankRuehl" w:cs="FrankRuehl"/>
          <w:sz w:val="28"/>
          <w:szCs w:val="28"/>
          <w:rtl/>
        </w:rPr>
      </w:pPr>
      <w:r>
        <w:rPr>
          <w:rFonts w:ascii="FrankRuehl" w:hAnsi="FrankRuehl" w:cs="FrankRuehl"/>
          <w:sz w:val="28"/>
          <w:szCs w:val="28"/>
          <w:rtl/>
        </w:rPr>
        <w:t>ו</w:t>
      </w:r>
      <w:r w:rsidR="002B12E0">
        <w:rPr>
          <w:rFonts w:ascii="FrankRuehl" w:hAnsi="FrankRuehl" w:cs="FrankRuehl"/>
          <w:sz w:val="28"/>
          <w:szCs w:val="28"/>
          <w:rtl/>
        </w:rPr>
        <w:t xml:space="preserve">גם עמוד 111 החל משורה 28 ואילך </w:t>
      </w:r>
      <w:r w:rsidR="002B12E0">
        <w:rPr>
          <w:rFonts w:ascii="FrankRuehl" w:hAnsi="FrankRuehl" w:cs="FrankRuehl" w:hint="cs"/>
          <w:sz w:val="28"/>
          <w:szCs w:val="28"/>
          <w:rtl/>
        </w:rPr>
        <w:t>לפרוטוקול המתומלל</w:t>
      </w:r>
      <w:r>
        <w:rPr>
          <w:rFonts w:ascii="FrankRuehl" w:hAnsi="FrankRuehl" w:cs="FrankRuehl"/>
          <w:sz w:val="28"/>
          <w:szCs w:val="28"/>
          <w:rtl/>
        </w:rPr>
        <w:t>:</w:t>
      </w:r>
    </w:p>
    <w:p w:rsidR="00765BA7" w:rsidRDefault="00765BA7" w:rsidP="00765BA7">
      <w:pPr>
        <w:ind w:right="1134"/>
        <w:jc w:val="both"/>
        <w:rPr>
          <w:rFonts w:ascii="FrankRuehl" w:hAnsi="FrankRuehl" w:cs="FrankRuehl"/>
          <w:noProof w:val="0"/>
          <w:sz w:val="28"/>
          <w:szCs w:val="28"/>
          <w:rtl/>
          <w:lang w:val="x-none" w:eastAsia="he-IL"/>
        </w:rPr>
      </w:pPr>
    </w:p>
    <w:p w:rsidR="00765BA7" w:rsidRPr="00573E92" w:rsidRDefault="00765BA7" w:rsidP="00765BA7">
      <w:pPr>
        <w:ind w:left="4320" w:right="1134" w:hanging="2880"/>
        <w:jc w:val="both"/>
        <w:rPr>
          <w:rFonts w:ascii="FrankRuehl" w:hAnsi="FrankRuehl" w:cs="Miriam"/>
          <w:b/>
          <w:bCs/>
          <w:sz w:val="20"/>
          <w:szCs w:val="20"/>
          <w:rtl/>
          <w:lang w:val="x-none" w:eastAsia="he-IL"/>
        </w:rPr>
      </w:pPr>
      <w:r w:rsidRPr="00573E92">
        <w:rPr>
          <w:rFonts w:ascii="FrankRuehl" w:hAnsi="FrankRuehl" w:cs="Miriam"/>
          <w:sz w:val="20"/>
          <w:szCs w:val="20"/>
          <w:rtl/>
          <w:lang w:val="x-none" w:eastAsia="he-IL"/>
        </w:rPr>
        <w:t>"עו"ד ג'ריס:</w:t>
      </w:r>
      <w:r w:rsidRPr="00573E92">
        <w:rPr>
          <w:rFonts w:ascii="FrankRuehl" w:hAnsi="FrankRuehl" w:cs="Miriam"/>
          <w:sz w:val="20"/>
          <w:szCs w:val="20"/>
          <w:rtl/>
          <w:lang w:val="x-none" w:eastAsia="he-IL"/>
        </w:rPr>
        <w:tab/>
      </w:r>
      <w:r w:rsidRPr="00573E92">
        <w:rPr>
          <w:rFonts w:ascii="FrankRuehl" w:hAnsi="FrankRuehl" w:cs="Miriam"/>
          <w:b/>
          <w:bCs/>
          <w:sz w:val="20"/>
          <w:szCs w:val="20"/>
          <w:rtl/>
          <w:lang w:val="x-none" w:eastAsia="he-IL"/>
        </w:rPr>
        <w:t>קיבלת מהחשבון מבנק לאומי אתה ו</w:t>
      </w:r>
      <w:r w:rsidR="003E4826">
        <w:rPr>
          <w:rFonts w:ascii="FrankRuehl" w:hAnsi="FrankRuehl" w:cs="Miriam"/>
          <w:b/>
          <w:bCs/>
          <w:sz w:val="20"/>
          <w:szCs w:val="20"/>
          <w:rtl/>
          <w:lang w:val="x-none" w:eastAsia="he-IL"/>
        </w:rPr>
        <w:t>א.ר.2</w:t>
      </w:r>
      <w:r w:rsidRPr="00573E92">
        <w:rPr>
          <w:rFonts w:ascii="FrankRuehl" w:hAnsi="FrankRuehl" w:cs="Miriam"/>
          <w:b/>
          <w:bCs/>
          <w:sz w:val="20"/>
          <w:szCs w:val="20"/>
          <w:rtl/>
          <w:lang w:val="x-none" w:eastAsia="he-IL"/>
        </w:rPr>
        <w:t xml:space="preserve"> קיבלתם, כל אחד 1,160,000 שקל.</w:t>
      </w:r>
    </w:p>
    <w:p w:rsidR="00765BA7" w:rsidRPr="00573E92" w:rsidRDefault="00765BA7" w:rsidP="00765BA7">
      <w:pPr>
        <w:ind w:left="3600" w:right="1134" w:hanging="2160"/>
        <w:jc w:val="both"/>
        <w:rPr>
          <w:rFonts w:ascii="FrankRuehl" w:hAnsi="FrankRuehl" w:cs="Miriam"/>
          <w:b/>
          <w:bCs/>
          <w:sz w:val="20"/>
          <w:szCs w:val="20"/>
          <w:lang w:val="x-none" w:eastAsia="he-IL"/>
        </w:rPr>
      </w:pPr>
      <w:r w:rsidRPr="00573E92">
        <w:rPr>
          <w:rFonts w:ascii="FrankRuehl" w:hAnsi="FrankRuehl" w:cs="Miriam"/>
          <w:sz w:val="20"/>
          <w:szCs w:val="20"/>
          <w:rtl/>
          <w:lang w:val="x-none" w:eastAsia="he-IL"/>
        </w:rPr>
        <w:t xml:space="preserve">העד, מר </w:t>
      </w:r>
      <w:r w:rsidR="003E4826">
        <w:rPr>
          <w:rFonts w:ascii="FrankRuehl" w:hAnsi="FrankRuehl" w:cs="Miriam"/>
          <w:sz w:val="20"/>
          <w:szCs w:val="20"/>
          <w:rtl/>
          <w:lang w:val="x-none" w:eastAsia="he-IL"/>
        </w:rPr>
        <w:t>ר'</w:t>
      </w:r>
      <w:r w:rsidRPr="00573E92">
        <w:rPr>
          <w:rFonts w:ascii="FrankRuehl" w:hAnsi="FrankRuehl" w:cs="Miriam"/>
          <w:sz w:val="20"/>
          <w:szCs w:val="20"/>
          <w:rtl/>
          <w:lang w:val="x-none" w:eastAsia="he-IL"/>
        </w:rPr>
        <w:t>, ס.:</w:t>
      </w:r>
      <w:r w:rsidRPr="00573E92">
        <w:rPr>
          <w:rFonts w:ascii="FrankRuehl" w:hAnsi="FrankRuehl" w:cs="Miriam"/>
          <w:sz w:val="20"/>
          <w:szCs w:val="20"/>
          <w:rtl/>
          <w:lang w:val="x-none" w:eastAsia="he-IL"/>
        </w:rPr>
        <w:tab/>
      </w:r>
      <w:r w:rsidRPr="00573E92">
        <w:rPr>
          <w:rFonts w:ascii="FrankRuehl" w:hAnsi="FrankRuehl" w:cs="Miriam"/>
          <w:b/>
          <w:bCs/>
          <w:sz w:val="20"/>
          <w:szCs w:val="20"/>
          <w:rtl/>
          <w:lang w:val="x-none" w:eastAsia="he-IL"/>
        </w:rPr>
        <w:tab/>
        <w:t>יפה.</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באותו, באותה תקופה שמכרתם את הקרקע. לא משכתם את הכסף של הקרקע, משכתם, חילקתם חצי את הכסף. מה הסיבה?</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עוד פעם, מה השאלה? תסביר לי.</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השאלה היא כזו.</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כן.</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מכרתם קרקע, קיבלת 1,600,000 שקל.</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כן.</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שמתם אותו בבנק ערבי.</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כן.</w:t>
      </w:r>
    </w:p>
    <w:p w:rsidR="00765BA7" w:rsidRPr="00573E92" w:rsidRDefault="00765BA7" w:rsidP="00765BA7">
      <w:pPr>
        <w:ind w:left="4320" w:right="1134" w:hanging="2880"/>
        <w:jc w:val="both"/>
        <w:rPr>
          <w:rFonts w:ascii="FrankRuehl" w:hAnsi="FrankRuehl" w:cs="Miriam"/>
          <w:b/>
          <w:bCs/>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r>
      <w:r w:rsidRPr="00573E92">
        <w:rPr>
          <w:rFonts w:ascii="FrankRuehl" w:hAnsi="FrankRuehl" w:cs="Miriam"/>
          <w:b/>
          <w:bCs/>
          <w:sz w:val="20"/>
          <w:szCs w:val="20"/>
          <w:rtl/>
          <w:lang w:val="x-none" w:eastAsia="he-IL"/>
        </w:rPr>
        <w:t>למה? כי מגיע לנו.</w:t>
      </w:r>
    </w:p>
    <w:p w:rsidR="00765BA7" w:rsidRPr="00573E92" w:rsidRDefault="00765BA7" w:rsidP="00765BA7">
      <w:pPr>
        <w:ind w:left="4320" w:right="1134" w:hanging="2880"/>
        <w:jc w:val="both"/>
        <w:rPr>
          <w:rFonts w:ascii="FrankRuehl" w:hAnsi="FrankRuehl" w:cs="Miriam"/>
          <w:b/>
          <w:bCs/>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b/>
          <w:bCs/>
          <w:sz w:val="20"/>
          <w:szCs w:val="20"/>
          <w:rtl/>
          <w:lang w:val="x-none" w:eastAsia="he-IL"/>
        </w:rPr>
        <w:tab/>
        <w:t>ואתה ו</w:t>
      </w:r>
      <w:r w:rsidR="003E4826">
        <w:rPr>
          <w:rFonts w:ascii="FrankRuehl" w:hAnsi="FrankRuehl" w:cs="Miriam"/>
          <w:b/>
          <w:bCs/>
          <w:sz w:val="20"/>
          <w:szCs w:val="20"/>
          <w:rtl/>
          <w:lang w:val="x-none" w:eastAsia="he-IL"/>
        </w:rPr>
        <w:t>א.ר.2</w:t>
      </w:r>
      <w:r w:rsidRPr="00573E92">
        <w:rPr>
          <w:rFonts w:ascii="FrankRuehl" w:hAnsi="FrankRuehl" w:cs="Miriam"/>
          <w:b/>
          <w:bCs/>
          <w:sz w:val="20"/>
          <w:szCs w:val="20"/>
          <w:rtl/>
          <w:lang w:val="x-none" w:eastAsia="he-IL"/>
        </w:rPr>
        <w:t xml:space="preserve"> קיבלתם כל אחד מבנק לאומי, לא מבנק איפה שהכסף של הקרקע. קיבלתם כל אחד באותו חודש פחות או יותר 1,150,000 </w:t>
      </w:r>
      <w:r w:rsidRPr="00573E92">
        <w:rPr>
          <w:rFonts w:ascii="FrankRuehl" w:hAnsi="FrankRuehl" w:cs="Miriam"/>
          <w:b/>
          <w:bCs/>
          <w:sz w:val="20"/>
          <w:szCs w:val="20"/>
          <w:rtl/>
          <w:lang w:val="x-none" w:eastAsia="he-IL"/>
        </w:rPr>
        <w:br/>
        <w:t>ו-1,160,000 שקל. כל אחד.</w:t>
      </w:r>
    </w:p>
    <w:p w:rsidR="00765BA7" w:rsidRPr="00573E92" w:rsidRDefault="00765BA7" w:rsidP="00765BA7">
      <w:pPr>
        <w:ind w:left="4320" w:right="1134" w:hanging="2880"/>
        <w:jc w:val="both"/>
        <w:rPr>
          <w:rFonts w:ascii="FrankRuehl" w:hAnsi="FrankRuehl" w:cs="Miriam"/>
          <w:b/>
          <w:bCs/>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b/>
          <w:bCs/>
          <w:sz w:val="20"/>
          <w:szCs w:val="20"/>
          <w:rtl/>
          <w:lang w:val="x-none" w:eastAsia="he-IL"/>
        </w:rPr>
        <w:tab/>
        <w:t>יפה.</w:t>
      </w:r>
    </w:p>
    <w:p w:rsidR="00765BA7" w:rsidRPr="00573E92" w:rsidRDefault="00765BA7" w:rsidP="00765BA7">
      <w:pPr>
        <w:ind w:left="4320" w:right="1134" w:hanging="2880"/>
        <w:jc w:val="both"/>
        <w:rPr>
          <w:rFonts w:ascii="FrankRuehl" w:hAnsi="FrankRuehl" w:cs="Miriam"/>
          <w:b/>
          <w:bCs/>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b/>
          <w:bCs/>
          <w:sz w:val="20"/>
          <w:szCs w:val="20"/>
          <w:rtl/>
          <w:lang w:val="x-none" w:eastAsia="he-IL"/>
        </w:rPr>
        <w:tab/>
        <w:t>למה?</w:t>
      </w:r>
    </w:p>
    <w:p w:rsidR="00765BA7" w:rsidRPr="00573E92" w:rsidRDefault="00765BA7" w:rsidP="00765BA7">
      <w:pPr>
        <w:ind w:left="4320" w:right="1134" w:hanging="2880"/>
        <w:jc w:val="both"/>
        <w:rPr>
          <w:rFonts w:ascii="FrankRuehl" w:hAnsi="FrankRuehl" w:cs="Miriam"/>
          <w:b/>
          <w:bCs/>
          <w:sz w:val="20"/>
          <w:szCs w:val="20"/>
          <w:rtl/>
          <w:lang w:val="x-none" w:eastAsia="he-IL"/>
        </w:rPr>
      </w:pPr>
      <w:r w:rsidRPr="00573E92">
        <w:rPr>
          <w:rFonts w:ascii="FrankRuehl" w:hAnsi="FrankRuehl" w:cs="Miriam"/>
          <w:b/>
          <w:bCs/>
          <w:sz w:val="20"/>
          <w:szCs w:val="20"/>
          <w:rtl/>
          <w:lang w:val="x-none" w:eastAsia="he-IL"/>
        </w:rPr>
        <w:tab/>
        <w:t>מגיע לך. לפי מה?</w:t>
      </w:r>
    </w:p>
    <w:p w:rsidR="00765BA7" w:rsidRPr="00573E92" w:rsidRDefault="00765BA7" w:rsidP="00765BA7">
      <w:pPr>
        <w:ind w:left="4320" w:right="1134" w:hanging="2880"/>
        <w:jc w:val="both"/>
        <w:rPr>
          <w:rFonts w:ascii="FrankRuehl" w:hAnsi="FrankRuehl" w:cs="Miriam"/>
          <w:b/>
          <w:bCs/>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b/>
          <w:bCs/>
          <w:sz w:val="20"/>
          <w:szCs w:val="20"/>
          <w:rtl/>
          <w:lang w:val="x-none" w:eastAsia="he-IL"/>
        </w:rPr>
        <w:tab/>
        <w:t>כן, כי,</w:t>
      </w:r>
    </w:p>
    <w:p w:rsidR="00765BA7" w:rsidRPr="00573E92" w:rsidRDefault="00765BA7" w:rsidP="00765BA7">
      <w:pPr>
        <w:ind w:left="4320" w:right="1134" w:hanging="2880"/>
        <w:jc w:val="both"/>
        <w:rPr>
          <w:rFonts w:ascii="FrankRuehl" w:hAnsi="FrankRuehl" w:cs="Miriam"/>
          <w:b/>
          <w:bCs/>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b/>
          <w:bCs/>
          <w:sz w:val="20"/>
          <w:szCs w:val="20"/>
          <w:rtl/>
          <w:lang w:val="x-none" w:eastAsia="he-IL"/>
        </w:rPr>
        <w:tab/>
        <w:t>לפי מה מגיע לך?</w:t>
      </w:r>
    </w:p>
    <w:p w:rsidR="00765BA7" w:rsidRPr="00573E92" w:rsidRDefault="00765BA7" w:rsidP="00765BA7">
      <w:pPr>
        <w:ind w:left="4320" w:right="1134" w:hanging="2880"/>
        <w:jc w:val="both"/>
        <w:rPr>
          <w:rFonts w:ascii="FrankRuehl" w:hAnsi="FrankRuehl" w:cs="Miriam"/>
          <w:b/>
          <w:bCs/>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b/>
          <w:bCs/>
          <w:sz w:val="20"/>
          <w:szCs w:val="20"/>
          <w:rtl/>
          <w:lang w:val="x-none" w:eastAsia="he-IL"/>
        </w:rPr>
        <w:tab/>
        <w:t>כי אבא, זה הלקוח שלך לקח פי 10,</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 xml:space="preserve">אחיך. אחיך. </w:t>
      </w:r>
      <w:r w:rsidR="003E4826">
        <w:rPr>
          <w:rFonts w:ascii="FrankRuehl" w:hAnsi="FrankRuehl" w:cs="Miriam"/>
          <w:sz w:val="20"/>
          <w:szCs w:val="20"/>
          <w:rtl/>
          <w:lang w:val="x-none" w:eastAsia="he-IL"/>
        </w:rPr>
        <w:t>א.ר.</w:t>
      </w:r>
      <w:r w:rsidRPr="00573E92">
        <w:rPr>
          <w:rFonts w:ascii="FrankRuehl" w:hAnsi="FrankRuehl" w:cs="Miriam"/>
          <w:sz w:val="20"/>
          <w:szCs w:val="20"/>
          <w:rtl/>
          <w:lang w:val="x-none" w:eastAsia="he-IL"/>
        </w:rPr>
        <w:t xml:space="preserve">. קוראים לו </w:t>
      </w:r>
      <w:r w:rsidR="003E4826">
        <w:rPr>
          <w:rFonts w:ascii="FrankRuehl" w:hAnsi="FrankRuehl" w:cs="Miriam"/>
          <w:sz w:val="20"/>
          <w:szCs w:val="20"/>
          <w:rtl/>
          <w:lang w:val="x-none" w:eastAsia="he-IL"/>
        </w:rPr>
        <w:t>א.ר.</w:t>
      </w:r>
      <w:r w:rsidRPr="00573E92">
        <w:rPr>
          <w:rFonts w:ascii="FrankRuehl" w:hAnsi="FrankRuehl" w:cs="Miriam"/>
          <w:sz w:val="20"/>
          <w:szCs w:val="20"/>
          <w:rtl/>
          <w:lang w:val="x-none" w:eastAsia="he-IL"/>
        </w:rPr>
        <w:t>.</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לא, הלקוח שלך, כן.</w:t>
      </w:r>
    </w:p>
    <w:p w:rsidR="00765BA7" w:rsidRPr="00573E92" w:rsidRDefault="00765BA7" w:rsidP="00765BA7">
      <w:pPr>
        <w:ind w:left="4320" w:right="1134" w:hanging="2880"/>
        <w:jc w:val="both"/>
        <w:rPr>
          <w:rFonts w:ascii="FrankRuehl" w:hAnsi="FrankRuehl" w:cs="Miriam"/>
          <w:sz w:val="20"/>
          <w:szCs w:val="20"/>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 xml:space="preserve">אתה לא קורא לו </w:t>
      </w:r>
      <w:r w:rsidR="003E4826">
        <w:rPr>
          <w:rFonts w:ascii="FrankRuehl" w:hAnsi="FrankRuehl" w:cs="Miriam"/>
          <w:sz w:val="20"/>
          <w:szCs w:val="20"/>
          <w:rtl/>
          <w:lang w:val="x-none" w:eastAsia="he-IL"/>
        </w:rPr>
        <w:t>א.ר.</w:t>
      </w:r>
      <w:r w:rsidRPr="00573E92">
        <w:rPr>
          <w:rFonts w:ascii="FrankRuehl" w:hAnsi="FrankRuehl" w:cs="Miriam"/>
          <w:sz w:val="20"/>
          <w:szCs w:val="20"/>
          <w:rtl/>
          <w:lang w:val="x-none" w:eastAsia="he-IL"/>
        </w:rPr>
        <w:t>? הוא לא אחיך?</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 xml:space="preserve">טוב, עכשיו עזוב את השטויות האלה. קוראים לו </w:t>
      </w:r>
      <w:r w:rsidR="003E4826">
        <w:rPr>
          <w:rFonts w:ascii="FrankRuehl" w:hAnsi="FrankRuehl" w:cs="Miriam"/>
          <w:sz w:val="20"/>
          <w:szCs w:val="20"/>
          <w:rtl/>
          <w:lang w:val="x-none" w:eastAsia="he-IL"/>
        </w:rPr>
        <w:t>א.ר.</w:t>
      </w:r>
      <w:r w:rsidRPr="00573E92">
        <w:rPr>
          <w:rFonts w:ascii="FrankRuehl" w:hAnsi="FrankRuehl" w:cs="Miriam"/>
          <w:sz w:val="20"/>
          <w:szCs w:val="20"/>
          <w:rtl/>
          <w:lang w:val="x-none" w:eastAsia="he-IL"/>
        </w:rPr>
        <w:t xml:space="preserve"> לא </w:t>
      </w:r>
      <w:r w:rsidR="003E4826">
        <w:rPr>
          <w:rFonts w:ascii="FrankRuehl" w:hAnsi="FrankRuehl" w:cs="Miriam"/>
          <w:sz w:val="20"/>
          <w:szCs w:val="20"/>
          <w:rtl/>
          <w:lang w:val="x-none" w:eastAsia="he-IL"/>
        </w:rPr>
        <w:t>א.ר.</w:t>
      </w:r>
      <w:r w:rsidRPr="00573E92">
        <w:rPr>
          <w:rFonts w:ascii="FrankRuehl" w:hAnsi="FrankRuehl" w:cs="Miriam"/>
          <w:sz w:val="20"/>
          <w:szCs w:val="20"/>
          <w:rtl/>
          <w:lang w:val="x-none" w:eastAsia="he-IL"/>
        </w:rPr>
        <w:t>. מה אתה,</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מה זה אתה עושה,</w:t>
      </w:r>
    </w:p>
    <w:p w:rsidR="00765BA7" w:rsidRPr="00573E92" w:rsidRDefault="00765BA7" w:rsidP="00765BA7">
      <w:pPr>
        <w:ind w:left="4320" w:right="1134" w:hanging="2880"/>
        <w:jc w:val="both"/>
        <w:rPr>
          <w:rFonts w:ascii="FrankRuehl" w:hAnsi="FrankRuehl" w:cs="Miriam"/>
          <w:b/>
          <w:bCs/>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r>
      <w:r w:rsidRPr="00573E92">
        <w:rPr>
          <w:rFonts w:ascii="FrankRuehl" w:hAnsi="FrankRuehl" w:cs="Miriam"/>
          <w:b/>
          <w:bCs/>
          <w:sz w:val="20"/>
          <w:szCs w:val="20"/>
          <w:rtl/>
          <w:lang w:val="x-none" w:eastAsia="he-IL"/>
        </w:rPr>
        <w:t>כי הוא לקח פי 10 ממה שלקחנו.</w:t>
      </w:r>
    </w:p>
    <w:p w:rsidR="00765BA7" w:rsidRPr="00573E92" w:rsidRDefault="00765BA7" w:rsidP="00765BA7">
      <w:pPr>
        <w:ind w:left="4320" w:right="1134" w:hanging="2880"/>
        <w:jc w:val="both"/>
        <w:rPr>
          <w:rFonts w:ascii="FrankRuehl" w:hAnsi="FrankRuehl" w:cs="Miriam"/>
          <w:b/>
          <w:bCs/>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b/>
          <w:bCs/>
          <w:sz w:val="20"/>
          <w:szCs w:val="20"/>
          <w:rtl/>
          <w:lang w:val="x-none" w:eastAsia="he-IL"/>
        </w:rPr>
        <w:tab/>
        <w:t>אז אתה החלטת עכשיו להחזיר. הוא לקח מספיק, נחלק את הקופה? זה מה שאתה אומר לי?</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 xml:space="preserve">כב' הש' גורביץ' עובדיה: </w:t>
      </w:r>
      <w:r w:rsidRPr="00573E92">
        <w:rPr>
          <w:rFonts w:ascii="FrankRuehl" w:hAnsi="FrankRuehl" w:cs="Miriam"/>
          <w:sz w:val="20"/>
          <w:szCs w:val="20"/>
          <w:rtl/>
          <w:lang w:val="x-none" w:eastAsia="he-IL"/>
        </w:rPr>
        <w:tab/>
        <w:t>מה התשובה, אדוני? מה התשובה לשאלה?</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 xml:space="preserve">העד, מר </w:t>
      </w:r>
      <w:r w:rsidR="003E4826">
        <w:rPr>
          <w:rFonts w:ascii="FrankRuehl" w:hAnsi="FrankRuehl" w:cs="Miriam"/>
          <w:sz w:val="20"/>
          <w:szCs w:val="20"/>
          <w:rtl/>
          <w:lang w:val="x-none" w:eastAsia="he-IL"/>
        </w:rPr>
        <w:t>ר'</w:t>
      </w:r>
      <w:r w:rsidRPr="00573E92">
        <w:rPr>
          <w:rFonts w:ascii="FrankRuehl" w:hAnsi="FrankRuehl" w:cs="Miriam"/>
          <w:sz w:val="20"/>
          <w:szCs w:val="20"/>
          <w:rtl/>
          <w:lang w:val="x-none" w:eastAsia="he-IL"/>
        </w:rPr>
        <w:t xml:space="preserve">, ס.: </w:t>
      </w:r>
      <w:r w:rsidRPr="00573E92">
        <w:rPr>
          <w:rFonts w:ascii="FrankRuehl" w:hAnsi="FrankRuehl" w:cs="Miriam"/>
          <w:sz w:val="20"/>
          <w:szCs w:val="20"/>
          <w:rtl/>
          <w:lang w:val="x-none" w:eastAsia="he-IL"/>
        </w:rPr>
        <w:tab/>
      </w:r>
      <w:r w:rsidRPr="00573E92">
        <w:rPr>
          <w:rFonts w:ascii="FrankRuehl" w:hAnsi="FrankRuehl" w:cs="Miriam"/>
          <w:sz w:val="20"/>
          <w:szCs w:val="20"/>
          <w:rtl/>
          <w:lang w:val="x-none" w:eastAsia="he-IL"/>
        </w:rPr>
        <w:tab/>
        <w:t>מה השאלה?</w:t>
      </w:r>
    </w:p>
    <w:p w:rsidR="00765BA7" w:rsidRPr="00573E92" w:rsidRDefault="00765BA7" w:rsidP="00765BA7">
      <w:pPr>
        <w:ind w:left="4320" w:right="1134" w:hanging="2880"/>
        <w:jc w:val="both"/>
        <w:rPr>
          <w:rFonts w:ascii="FrankRuehl" w:hAnsi="FrankRuehl" w:cs="Miriam"/>
          <w:b/>
          <w:bCs/>
          <w:sz w:val="20"/>
          <w:szCs w:val="20"/>
          <w:rtl/>
          <w:lang w:val="x-none" w:eastAsia="he-IL"/>
        </w:rPr>
      </w:pPr>
      <w:r w:rsidRPr="00573E92">
        <w:rPr>
          <w:rFonts w:ascii="FrankRuehl" w:hAnsi="FrankRuehl" w:cs="Miriam"/>
          <w:sz w:val="20"/>
          <w:szCs w:val="20"/>
          <w:rtl/>
          <w:lang w:val="x-none" w:eastAsia="he-IL"/>
        </w:rPr>
        <w:t>כב' הש' גורביץ' עובדיה:</w:t>
      </w:r>
      <w:r w:rsidRPr="00573E92">
        <w:rPr>
          <w:rFonts w:ascii="FrankRuehl" w:hAnsi="FrankRuehl" w:cs="Miriam"/>
          <w:b/>
          <w:bCs/>
          <w:sz w:val="20"/>
          <w:szCs w:val="20"/>
          <w:rtl/>
          <w:lang w:val="x-none" w:eastAsia="he-IL"/>
        </w:rPr>
        <w:t xml:space="preserve"> </w:t>
      </w:r>
      <w:r w:rsidRPr="00573E92">
        <w:rPr>
          <w:rFonts w:ascii="FrankRuehl" w:hAnsi="FrankRuehl" w:cs="Miriam"/>
          <w:b/>
          <w:bCs/>
          <w:sz w:val="20"/>
          <w:szCs w:val="20"/>
          <w:rtl/>
          <w:lang w:val="x-none" w:eastAsia="he-IL"/>
        </w:rPr>
        <w:tab/>
        <w:t>אמרת "כי מגיע לנו". אז אמר לך עורך דין ג'ריס "אז בגלל</w:t>
      </w:r>
    </w:p>
    <w:p w:rsidR="00765BA7" w:rsidRPr="00573E92" w:rsidRDefault="00765BA7" w:rsidP="00765BA7">
      <w:pPr>
        <w:ind w:left="4320" w:right="1134"/>
        <w:jc w:val="both"/>
        <w:rPr>
          <w:rFonts w:ascii="FrankRuehl" w:hAnsi="FrankRuehl" w:cs="Miriam"/>
          <w:b/>
          <w:bCs/>
          <w:sz w:val="20"/>
          <w:szCs w:val="20"/>
          <w:rtl/>
          <w:lang w:val="x-none" w:eastAsia="he-IL"/>
        </w:rPr>
      </w:pPr>
      <w:r w:rsidRPr="00573E92">
        <w:rPr>
          <w:rFonts w:ascii="FrankRuehl" w:hAnsi="FrankRuehl" w:cs="Miriam"/>
          <w:b/>
          <w:bCs/>
          <w:sz w:val="20"/>
          <w:szCs w:val="20"/>
          <w:rtl/>
          <w:lang w:val="x-none" w:eastAsia="he-IL"/>
        </w:rPr>
        <w:t>שהוא לקח אז אתה החלטת שאתה לוקח? כדי להחזיר?"</w:t>
      </w:r>
    </w:p>
    <w:p w:rsidR="00765BA7" w:rsidRPr="00573E92" w:rsidRDefault="00765BA7" w:rsidP="00765BA7">
      <w:pPr>
        <w:ind w:left="2880" w:right="1134" w:hanging="1440"/>
        <w:jc w:val="both"/>
        <w:rPr>
          <w:rFonts w:ascii="FrankRuehl" w:hAnsi="FrankRuehl" w:cs="Miriam"/>
          <w:b/>
          <w:bCs/>
          <w:sz w:val="20"/>
          <w:szCs w:val="20"/>
          <w:rtl/>
          <w:lang w:val="x-none" w:eastAsia="he-IL"/>
        </w:rPr>
      </w:pPr>
      <w:r w:rsidRPr="00573E92">
        <w:rPr>
          <w:rFonts w:ascii="FrankRuehl" w:hAnsi="FrankRuehl" w:cs="Miriam"/>
          <w:sz w:val="20"/>
          <w:szCs w:val="20"/>
          <w:rtl/>
          <w:lang w:val="x-none" w:eastAsia="he-IL"/>
        </w:rPr>
        <w:t xml:space="preserve">העד, מר </w:t>
      </w:r>
      <w:r w:rsidR="003E4826">
        <w:rPr>
          <w:rFonts w:ascii="FrankRuehl" w:hAnsi="FrankRuehl" w:cs="Miriam"/>
          <w:sz w:val="20"/>
          <w:szCs w:val="20"/>
          <w:rtl/>
          <w:lang w:val="x-none" w:eastAsia="he-IL"/>
        </w:rPr>
        <w:t>ר'</w:t>
      </w:r>
      <w:r w:rsidRPr="00573E92">
        <w:rPr>
          <w:rFonts w:ascii="FrankRuehl" w:hAnsi="FrankRuehl" w:cs="Miriam"/>
          <w:sz w:val="20"/>
          <w:szCs w:val="20"/>
          <w:rtl/>
          <w:lang w:val="x-none" w:eastAsia="he-IL"/>
        </w:rPr>
        <w:t xml:space="preserve">, ס.: </w:t>
      </w:r>
      <w:r w:rsidRPr="00573E92">
        <w:rPr>
          <w:rFonts w:ascii="FrankRuehl" w:hAnsi="FrankRuehl" w:cs="Miriam"/>
          <w:sz w:val="20"/>
          <w:szCs w:val="20"/>
          <w:rtl/>
          <w:lang w:val="x-none" w:eastAsia="he-IL"/>
        </w:rPr>
        <w:tab/>
      </w:r>
      <w:r w:rsidRPr="00573E92">
        <w:rPr>
          <w:rFonts w:ascii="FrankRuehl" w:hAnsi="FrankRuehl" w:cs="Miriam"/>
          <w:b/>
          <w:bCs/>
          <w:sz w:val="20"/>
          <w:szCs w:val="20"/>
          <w:rtl/>
          <w:lang w:val="x-none" w:eastAsia="he-IL"/>
        </w:rPr>
        <w:tab/>
        <w:t>לוקח כדי להחזיר?</w:t>
      </w:r>
    </w:p>
    <w:p w:rsidR="00765BA7" w:rsidRPr="00573E92" w:rsidRDefault="00765BA7" w:rsidP="00765BA7">
      <w:pPr>
        <w:ind w:left="2880" w:right="1134" w:hanging="1440"/>
        <w:jc w:val="both"/>
        <w:rPr>
          <w:rFonts w:ascii="FrankRuehl" w:hAnsi="FrankRuehl" w:cs="Miriam"/>
          <w:b/>
          <w:bCs/>
          <w:sz w:val="20"/>
          <w:szCs w:val="20"/>
          <w:rtl/>
          <w:lang w:val="x-none" w:eastAsia="he-IL"/>
        </w:rPr>
      </w:pPr>
      <w:r w:rsidRPr="00573E92">
        <w:rPr>
          <w:rFonts w:ascii="FrankRuehl" w:hAnsi="FrankRuehl" w:cs="Miriam"/>
          <w:sz w:val="20"/>
          <w:szCs w:val="20"/>
          <w:rtl/>
          <w:lang w:val="x-none" w:eastAsia="he-IL"/>
        </w:rPr>
        <w:t>כב' הש' גורביץ' עובדיה:</w:t>
      </w:r>
      <w:r w:rsidRPr="00573E92">
        <w:rPr>
          <w:rFonts w:ascii="FrankRuehl" w:hAnsi="FrankRuehl" w:cs="Miriam"/>
          <w:b/>
          <w:bCs/>
          <w:sz w:val="20"/>
          <w:szCs w:val="20"/>
          <w:rtl/>
          <w:lang w:val="x-none" w:eastAsia="he-IL"/>
        </w:rPr>
        <w:t xml:space="preserve"> </w:t>
      </w:r>
      <w:r w:rsidRPr="00573E92">
        <w:rPr>
          <w:rFonts w:ascii="FrankRuehl" w:hAnsi="FrankRuehl" w:cs="Miriam"/>
          <w:b/>
          <w:bCs/>
          <w:sz w:val="20"/>
          <w:szCs w:val="20"/>
          <w:rtl/>
          <w:lang w:val="x-none" w:eastAsia="he-IL"/>
        </w:rPr>
        <w:tab/>
        <w:t>כדי להשוות ביניכם.</w:t>
      </w:r>
    </w:p>
    <w:p w:rsidR="00765BA7" w:rsidRPr="00573E92" w:rsidRDefault="00765BA7" w:rsidP="00765BA7">
      <w:pPr>
        <w:ind w:left="3600" w:right="1134" w:hanging="2160"/>
        <w:jc w:val="both"/>
        <w:rPr>
          <w:rFonts w:ascii="FrankRuehl" w:hAnsi="FrankRuehl" w:cs="Miriam"/>
          <w:b/>
          <w:bCs/>
          <w:sz w:val="20"/>
          <w:szCs w:val="20"/>
          <w:rtl/>
          <w:lang w:val="x-none" w:eastAsia="he-IL"/>
        </w:rPr>
      </w:pPr>
      <w:r w:rsidRPr="00573E92">
        <w:rPr>
          <w:rFonts w:ascii="FrankRuehl" w:hAnsi="FrankRuehl" w:cs="Miriam"/>
          <w:sz w:val="20"/>
          <w:szCs w:val="20"/>
          <w:rtl/>
          <w:lang w:val="x-none" w:eastAsia="he-IL"/>
        </w:rPr>
        <w:t xml:space="preserve">העד, מר </w:t>
      </w:r>
      <w:r w:rsidR="003E4826">
        <w:rPr>
          <w:rFonts w:ascii="FrankRuehl" w:hAnsi="FrankRuehl" w:cs="Miriam"/>
          <w:sz w:val="20"/>
          <w:szCs w:val="20"/>
          <w:rtl/>
          <w:lang w:val="x-none" w:eastAsia="he-IL"/>
        </w:rPr>
        <w:t>ר'</w:t>
      </w:r>
      <w:r w:rsidRPr="00573E92">
        <w:rPr>
          <w:rFonts w:ascii="FrankRuehl" w:hAnsi="FrankRuehl" w:cs="Miriam"/>
          <w:sz w:val="20"/>
          <w:szCs w:val="20"/>
          <w:rtl/>
          <w:lang w:val="x-none" w:eastAsia="he-IL"/>
        </w:rPr>
        <w:t xml:space="preserve">, ס.: </w:t>
      </w:r>
      <w:r w:rsidRPr="00573E92">
        <w:rPr>
          <w:rFonts w:ascii="FrankRuehl" w:hAnsi="FrankRuehl" w:cs="Miriam"/>
          <w:sz w:val="20"/>
          <w:szCs w:val="20"/>
          <w:rtl/>
          <w:lang w:val="x-none" w:eastAsia="he-IL"/>
        </w:rPr>
        <w:tab/>
      </w:r>
      <w:r w:rsidRPr="00573E92">
        <w:rPr>
          <w:rFonts w:ascii="FrankRuehl" w:hAnsi="FrankRuehl" w:cs="Miriam"/>
          <w:b/>
          <w:bCs/>
          <w:sz w:val="20"/>
          <w:szCs w:val="20"/>
          <w:rtl/>
          <w:lang w:val="x-none" w:eastAsia="he-IL"/>
        </w:rPr>
        <w:tab/>
        <w:t>כן.</w:t>
      </w:r>
    </w:p>
    <w:p w:rsidR="00765BA7" w:rsidRPr="00573E92" w:rsidRDefault="00765BA7" w:rsidP="00765BA7">
      <w:pPr>
        <w:ind w:left="2880" w:right="1134" w:hanging="1440"/>
        <w:jc w:val="both"/>
        <w:rPr>
          <w:rFonts w:ascii="FrankRuehl" w:hAnsi="FrankRuehl" w:cs="Miriam"/>
          <w:b/>
          <w:bCs/>
          <w:sz w:val="20"/>
          <w:szCs w:val="20"/>
          <w:rtl/>
          <w:lang w:val="x-none" w:eastAsia="he-IL"/>
        </w:rPr>
      </w:pPr>
      <w:r w:rsidRPr="00573E92">
        <w:rPr>
          <w:rFonts w:ascii="FrankRuehl" w:hAnsi="FrankRuehl" w:cs="Miriam"/>
          <w:sz w:val="20"/>
          <w:szCs w:val="20"/>
          <w:rtl/>
          <w:lang w:val="x-none" w:eastAsia="he-IL"/>
        </w:rPr>
        <w:t xml:space="preserve">עו"ד ג'ריס: </w:t>
      </w:r>
      <w:r w:rsidRPr="00573E92">
        <w:rPr>
          <w:rFonts w:ascii="FrankRuehl" w:hAnsi="FrankRuehl" w:cs="Miriam"/>
          <w:sz w:val="20"/>
          <w:szCs w:val="20"/>
          <w:rtl/>
          <w:lang w:val="x-none" w:eastAsia="he-IL"/>
        </w:rPr>
        <w:tab/>
      </w:r>
      <w:r w:rsidRPr="00573E92">
        <w:rPr>
          <w:rFonts w:ascii="FrankRuehl" w:hAnsi="FrankRuehl" w:cs="Miriam"/>
          <w:b/>
          <w:bCs/>
          <w:sz w:val="20"/>
          <w:szCs w:val="20"/>
          <w:rtl/>
          <w:lang w:val="x-none" w:eastAsia="he-IL"/>
        </w:rPr>
        <w:tab/>
      </w:r>
      <w:r w:rsidRPr="00573E92">
        <w:rPr>
          <w:rFonts w:ascii="FrankRuehl" w:hAnsi="FrankRuehl" w:cs="Miriam"/>
          <w:b/>
          <w:bCs/>
          <w:sz w:val="20"/>
          <w:szCs w:val="20"/>
          <w:rtl/>
          <w:lang w:val="x-none" w:eastAsia="he-IL"/>
        </w:rPr>
        <w:tab/>
        <w:t>הבנתי.</w:t>
      </w:r>
    </w:p>
    <w:p w:rsidR="00765BA7" w:rsidRPr="00573E92" w:rsidRDefault="00765BA7" w:rsidP="00765BA7">
      <w:pPr>
        <w:ind w:left="2880" w:right="1134" w:hanging="1440"/>
        <w:jc w:val="both"/>
        <w:rPr>
          <w:rFonts w:ascii="FrankRuehl" w:hAnsi="FrankRuehl" w:cs="Miriam"/>
          <w:b/>
          <w:bCs/>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b/>
          <w:bCs/>
          <w:sz w:val="20"/>
          <w:szCs w:val="20"/>
          <w:rtl/>
          <w:lang w:val="x-none" w:eastAsia="he-IL"/>
        </w:rPr>
        <w:tab/>
      </w:r>
      <w:r w:rsidRPr="00573E92">
        <w:rPr>
          <w:rFonts w:ascii="FrankRuehl" w:hAnsi="FrankRuehl" w:cs="Miriam"/>
          <w:b/>
          <w:bCs/>
          <w:sz w:val="20"/>
          <w:szCs w:val="20"/>
          <w:rtl/>
          <w:lang w:val="x-none" w:eastAsia="he-IL"/>
        </w:rPr>
        <w:tab/>
      </w:r>
      <w:r w:rsidRPr="00573E92">
        <w:rPr>
          <w:rFonts w:ascii="FrankRuehl" w:hAnsi="FrankRuehl" w:cs="Miriam"/>
          <w:b/>
          <w:bCs/>
          <w:sz w:val="20"/>
          <w:szCs w:val="20"/>
          <w:rtl/>
          <w:lang w:val="x-none" w:eastAsia="he-IL"/>
        </w:rPr>
        <w:tab/>
        <w:t>כן."</w:t>
      </w:r>
    </w:p>
    <w:p w:rsidR="00765BA7" w:rsidRDefault="00765BA7" w:rsidP="00765BA7">
      <w:pPr>
        <w:spacing w:line="360" w:lineRule="auto"/>
        <w:ind w:left="720" w:hanging="720"/>
        <w:jc w:val="both"/>
        <w:rPr>
          <w:rFonts w:ascii="FrankRuehl" w:hAnsi="FrankRuehl" w:cs="FrankRuehl"/>
          <w:sz w:val="28"/>
          <w:szCs w:val="28"/>
          <w:rtl/>
        </w:rPr>
      </w:pPr>
    </w:p>
    <w:p w:rsidR="00765BA7" w:rsidRDefault="000E7EFC" w:rsidP="0087086A">
      <w:pPr>
        <w:spacing w:line="360" w:lineRule="auto"/>
        <w:ind w:firstLine="720"/>
        <w:jc w:val="both"/>
        <w:rPr>
          <w:rFonts w:ascii="FrankRuehl" w:hAnsi="FrankRuehl" w:cs="FrankRuehl"/>
          <w:sz w:val="28"/>
          <w:szCs w:val="28"/>
          <w:rtl/>
        </w:rPr>
      </w:pPr>
      <w:r>
        <w:rPr>
          <w:rFonts w:ascii="FrankRuehl" w:hAnsi="FrankRuehl" w:cs="FrankRuehl"/>
          <w:sz w:val="28"/>
          <w:szCs w:val="28"/>
          <w:rtl/>
        </w:rPr>
        <w:lastRenderedPageBreak/>
        <w:t>ועוד</w:t>
      </w:r>
      <w:r w:rsidR="00573E92">
        <w:rPr>
          <w:rFonts w:ascii="FrankRuehl" w:hAnsi="FrankRuehl" w:cs="FrankRuehl" w:hint="cs"/>
          <w:sz w:val="28"/>
          <w:szCs w:val="28"/>
          <w:rtl/>
        </w:rPr>
        <w:t xml:space="preserve"> במספר מקומות בעדות</w:t>
      </w:r>
      <w:r>
        <w:rPr>
          <w:rFonts w:ascii="FrankRuehl" w:hAnsi="FrankRuehl" w:cs="FrankRuehl" w:hint="cs"/>
          <w:sz w:val="28"/>
          <w:szCs w:val="28"/>
          <w:rtl/>
        </w:rPr>
        <w:t>.</w:t>
      </w:r>
    </w:p>
    <w:p w:rsidR="00765BA7" w:rsidRDefault="0087086A" w:rsidP="00765BA7">
      <w:pPr>
        <w:spacing w:line="360" w:lineRule="auto"/>
        <w:jc w:val="both"/>
        <w:rPr>
          <w:rFonts w:ascii="FrankRuehl" w:hAnsi="FrankRuehl" w:cs="FrankRuehl"/>
          <w:sz w:val="28"/>
          <w:szCs w:val="28"/>
          <w:rtl/>
        </w:rPr>
      </w:pPr>
      <w:r>
        <w:rPr>
          <w:rFonts w:ascii="FrankRuehl" w:hAnsi="FrankRuehl" w:cs="FrankRuehl"/>
          <w:sz w:val="28"/>
          <w:szCs w:val="28"/>
          <w:rtl/>
        </w:rPr>
        <w:tab/>
      </w:r>
    </w:p>
    <w:p w:rsidR="0087086A" w:rsidRDefault="0087086A" w:rsidP="00765BA7">
      <w:pPr>
        <w:spacing w:line="360" w:lineRule="auto"/>
        <w:jc w:val="both"/>
        <w:rPr>
          <w:rFonts w:ascii="FrankRuehl" w:hAnsi="FrankRuehl" w:cs="FrankRuehl"/>
          <w:sz w:val="28"/>
          <w:szCs w:val="28"/>
          <w:rtl/>
        </w:rPr>
      </w:pPr>
      <w:r>
        <w:rPr>
          <w:rFonts w:ascii="FrankRuehl" w:hAnsi="FrankRuehl" w:cs="FrankRuehl"/>
          <w:sz w:val="28"/>
          <w:szCs w:val="28"/>
          <w:rtl/>
        </w:rPr>
        <w:tab/>
      </w:r>
      <w:r>
        <w:rPr>
          <w:rFonts w:ascii="FrankRuehl" w:hAnsi="FrankRuehl" w:cs="FrankRuehl" w:hint="cs"/>
          <w:sz w:val="28"/>
          <w:szCs w:val="28"/>
          <w:rtl/>
        </w:rPr>
        <w:t xml:space="preserve">נוסף על העברות הנ"ל, יש להביא בחשבון גם העברות כדלקמן: </w:t>
      </w:r>
    </w:p>
    <w:p w:rsidR="0087086A" w:rsidRDefault="0087086A" w:rsidP="00765BA7">
      <w:pPr>
        <w:spacing w:line="360" w:lineRule="auto"/>
        <w:jc w:val="both"/>
        <w:rPr>
          <w:rFonts w:ascii="FrankRuehl" w:hAnsi="FrankRuehl" w:cs="FrankRuehl"/>
          <w:sz w:val="28"/>
          <w:szCs w:val="28"/>
          <w:rtl/>
        </w:rPr>
      </w:pPr>
    </w:p>
    <w:p w:rsidR="00765BA7" w:rsidRDefault="00765BA7" w:rsidP="00606666">
      <w:pPr>
        <w:spacing w:line="360" w:lineRule="auto"/>
        <w:ind w:left="1440" w:hanging="720"/>
        <w:jc w:val="both"/>
        <w:rPr>
          <w:rFonts w:ascii="FrankRuehl" w:hAnsi="FrankRuehl" w:cs="FrankRuehl"/>
          <w:sz w:val="28"/>
          <w:szCs w:val="28"/>
          <w:rtl/>
        </w:rPr>
      </w:pPr>
      <w:r>
        <w:rPr>
          <w:rFonts w:ascii="FrankRuehl" w:hAnsi="FrankRuehl" w:cs="FrankRuehl"/>
          <w:sz w:val="28"/>
          <w:szCs w:val="28"/>
          <w:rtl/>
        </w:rPr>
        <w:t xml:space="preserve">32.3. </w:t>
      </w:r>
      <w:r>
        <w:rPr>
          <w:rFonts w:ascii="FrankRuehl" w:hAnsi="FrankRuehl" w:cs="FrankRuehl"/>
          <w:sz w:val="28"/>
          <w:szCs w:val="28"/>
          <w:rtl/>
        </w:rPr>
        <w:tab/>
        <w:t xml:space="preserve">העברה מיום 04.02.2011 על סך 82,000 ₪ מח-ן </w:t>
      </w:r>
      <w:r w:rsidR="00606666">
        <w:rPr>
          <w:rFonts w:ascii="FrankRuehl" w:hAnsi="FrankRuehl" w:cs="FrankRuehl" w:hint="cs"/>
          <w:sz w:val="28"/>
          <w:szCs w:val="28"/>
          <w:rtl/>
        </w:rPr>
        <w:t xml:space="preserve">---- </w:t>
      </w:r>
      <w:r>
        <w:rPr>
          <w:rFonts w:ascii="FrankRuehl" w:hAnsi="FrankRuehl" w:cs="FrankRuehl"/>
          <w:sz w:val="28"/>
          <w:szCs w:val="28"/>
          <w:rtl/>
        </w:rPr>
        <w:t>בנק "ערבי-ישראלי" לנתבע 1.</w:t>
      </w:r>
    </w:p>
    <w:p w:rsidR="00765BA7" w:rsidRDefault="00765BA7" w:rsidP="00606666">
      <w:pPr>
        <w:spacing w:line="360" w:lineRule="auto"/>
        <w:ind w:left="1440" w:hanging="720"/>
        <w:jc w:val="both"/>
        <w:rPr>
          <w:rFonts w:ascii="FrankRuehl" w:hAnsi="FrankRuehl" w:cs="FrankRuehl"/>
          <w:sz w:val="28"/>
          <w:szCs w:val="28"/>
          <w:rtl/>
        </w:rPr>
      </w:pPr>
      <w:r>
        <w:rPr>
          <w:rFonts w:ascii="FrankRuehl" w:hAnsi="FrankRuehl" w:cs="FrankRuehl"/>
          <w:sz w:val="28"/>
          <w:szCs w:val="28"/>
          <w:rtl/>
        </w:rPr>
        <w:t xml:space="preserve">32.4. </w:t>
      </w:r>
      <w:r>
        <w:rPr>
          <w:rFonts w:ascii="FrankRuehl" w:hAnsi="FrankRuehl" w:cs="FrankRuehl"/>
          <w:sz w:val="28"/>
          <w:szCs w:val="28"/>
          <w:rtl/>
        </w:rPr>
        <w:tab/>
        <w:t>העברה מיום 27.06.2011 על סך 105,028 ₪ מח-ן 711440/86</w:t>
      </w:r>
      <w:r w:rsidR="00606666">
        <w:rPr>
          <w:rFonts w:ascii="FrankRuehl" w:hAnsi="FrankRuehl" w:cs="FrankRuehl" w:hint="cs"/>
          <w:sz w:val="28"/>
          <w:szCs w:val="28"/>
          <w:rtl/>
        </w:rPr>
        <w:t xml:space="preserve">---- </w:t>
      </w:r>
      <w:r>
        <w:rPr>
          <w:rFonts w:ascii="FrankRuehl" w:hAnsi="FrankRuehl" w:cs="FrankRuehl"/>
          <w:sz w:val="28"/>
          <w:szCs w:val="28"/>
          <w:rtl/>
        </w:rPr>
        <w:t>בנק "ערבי-ישראלי" לנתבע 1.</w:t>
      </w:r>
    </w:p>
    <w:p w:rsidR="00765BA7" w:rsidRDefault="00765BA7" w:rsidP="00606666">
      <w:pPr>
        <w:spacing w:line="360" w:lineRule="auto"/>
        <w:ind w:left="1440" w:hanging="720"/>
        <w:jc w:val="both"/>
        <w:rPr>
          <w:rFonts w:ascii="FrankRuehl" w:hAnsi="FrankRuehl" w:cs="FrankRuehl"/>
          <w:sz w:val="28"/>
          <w:szCs w:val="28"/>
          <w:rtl/>
        </w:rPr>
      </w:pPr>
      <w:r>
        <w:rPr>
          <w:rFonts w:ascii="FrankRuehl" w:hAnsi="FrankRuehl" w:cs="FrankRuehl"/>
          <w:sz w:val="28"/>
          <w:szCs w:val="28"/>
          <w:rtl/>
        </w:rPr>
        <w:t xml:space="preserve">32.5. </w:t>
      </w:r>
      <w:r>
        <w:rPr>
          <w:rFonts w:ascii="FrankRuehl" w:hAnsi="FrankRuehl" w:cs="FrankRuehl"/>
          <w:sz w:val="28"/>
          <w:szCs w:val="28"/>
          <w:rtl/>
        </w:rPr>
        <w:tab/>
        <w:t xml:space="preserve">העברה מיום 21.09.2011 על סך 900,000 ₪ מח-ן </w:t>
      </w:r>
      <w:r w:rsidR="00606666">
        <w:rPr>
          <w:rFonts w:ascii="FrankRuehl" w:hAnsi="FrankRuehl" w:cs="FrankRuehl" w:hint="cs"/>
          <w:sz w:val="28"/>
          <w:szCs w:val="28"/>
          <w:rtl/>
        </w:rPr>
        <w:t xml:space="preserve">---- </w:t>
      </w:r>
      <w:r>
        <w:rPr>
          <w:rFonts w:ascii="FrankRuehl" w:hAnsi="FrankRuehl" w:cs="FrankRuehl"/>
          <w:sz w:val="28"/>
          <w:szCs w:val="28"/>
          <w:rtl/>
        </w:rPr>
        <w:t>בנק "ערבי-ישראלי" לנתבע 2.</w:t>
      </w:r>
    </w:p>
    <w:p w:rsidR="00765BA7" w:rsidRDefault="00765BA7" w:rsidP="00606666">
      <w:pPr>
        <w:spacing w:line="360" w:lineRule="auto"/>
        <w:ind w:left="1440" w:hanging="720"/>
        <w:jc w:val="both"/>
        <w:rPr>
          <w:rFonts w:ascii="FrankRuehl" w:hAnsi="FrankRuehl" w:cs="FrankRuehl"/>
          <w:sz w:val="28"/>
          <w:szCs w:val="28"/>
          <w:rtl/>
        </w:rPr>
      </w:pPr>
      <w:r>
        <w:rPr>
          <w:rFonts w:ascii="FrankRuehl" w:hAnsi="FrankRuehl" w:cs="FrankRuehl"/>
          <w:sz w:val="28"/>
          <w:szCs w:val="28"/>
          <w:rtl/>
        </w:rPr>
        <w:t xml:space="preserve">32.6. </w:t>
      </w:r>
      <w:r>
        <w:rPr>
          <w:rFonts w:ascii="FrankRuehl" w:hAnsi="FrankRuehl" w:cs="FrankRuehl"/>
          <w:sz w:val="28"/>
          <w:szCs w:val="28"/>
          <w:rtl/>
        </w:rPr>
        <w:tab/>
        <w:t xml:space="preserve">העברה מיום 04.01.2012 על סך 738,000 ₪ מח-ן </w:t>
      </w:r>
      <w:r w:rsidR="00606666">
        <w:rPr>
          <w:rFonts w:ascii="FrankRuehl" w:hAnsi="FrankRuehl" w:cs="FrankRuehl" w:hint="cs"/>
          <w:sz w:val="28"/>
          <w:szCs w:val="28"/>
          <w:rtl/>
        </w:rPr>
        <w:t xml:space="preserve">---- </w:t>
      </w:r>
      <w:r>
        <w:rPr>
          <w:rFonts w:ascii="FrankRuehl" w:hAnsi="FrankRuehl" w:cs="FrankRuehl"/>
          <w:sz w:val="28"/>
          <w:szCs w:val="28"/>
          <w:rtl/>
        </w:rPr>
        <w:t>בנק "ערבי-ישראלי" לנתבע 1.</w:t>
      </w:r>
    </w:p>
    <w:p w:rsidR="00765BA7" w:rsidRDefault="00765BA7" w:rsidP="00606666">
      <w:pPr>
        <w:spacing w:line="360" w:lineRule="auto"/>
        <w:ind w:left="1440" w:hanging="720"/>
        <w:jc w:val="both"/>
        <w:rPr>
          <w:rFonts w:ascii="FrankRuehl" w:hAnsi="FrankRuehl" w:cs="FrankRuehl"/>
          <w:sz w:val="28"/>
          <w:szCs w:val="28"/>
          <w:rtl/>
        </w:rPr>
      </w:pPr>
      <w:r>
        <w:rPr>
          <w:rFonts w:ascii="FrankRuehl" w:hAnsi="FrankRuehl" w:cs="FrankRuehl"/>
          <w:sz w:val="28"/>
          <w:szCs w:val="28"/>
          <w:rtl/>
        </w:rPr>
        <w:t xml:space="preserve">32.7. </w:t>
      </w:r>
      <w:r>
        <w:rPr>
          <w:rFonts w:ascii="FrankRuehl" w:hAnsi="FrankRuehl" w:cs="FrankRuehl"/>
          <w:sz w:val="28"/>
          <w:szCs w:val="28"/>
          <w:rtl/>
        </w:rPr>
        <w:tab/>
        <w:t xml:space="preserve">העברה מיום 20.01.2012 על סך 1,000 ₪ מח-ן </w:t>
      </w:r>
      <w:r w:rsidR="00606666">
        <w:rPr>
          <w:rFonts w:ascii="FrankRuehl" w:hAnsi="FrankRuehl" w:cs="FrankRuehl" w:hint="cs"/>
          <w:sz w:val="28"/>
          <w:szCs w:val="28"/>
          <w:rtl/>
        </w:rPr>
        <w:t xml:space="preserve">---- </w:t>
      </w:r>
      <w:r>
        <w:rPr>
          <w:rFonts w:ascii="FrankRuehl" w:hAnsi="FrankRuehl" w:cs="FrankRuehl"/>
          <w:sz w:val="28"/>
          <w:szCs w:val="28"/>
          <w:rtl/>
        </w:rPr>
        <w:t>בנק "ערבי-ישראלי" לנתבע 1 - והחשבון נסגר.</w:t>
      </w:r>
    </w:p>
    <w:p w:rsidR="00765BA7" w:rsidRDefault="00765BA7" w:rsidP="00765BA7">
      <w:pPr>
        <w:spacing w:line="360" w:lineRule="auto"/>
        <w:jc w:val="both"/>
        <w:rPr>
          <w:rFonts w:ascii="FrankRuehl" w:hAnsi="FrankRuehl" w:cs="FrankRuehl"/>
          <w:sz w:val="28"/>
          <w:szCs w:val="28"/>
          <w:rtl/>
        </w:rPr>
      </w:pPr>
    </w:p>
    <w:p w:rsidR="0087086A" w:rsidRDefault="0087086A" w:rsidP="0087086A">
      <w:pPr>
        <w:spacing w:line="360" w:lineRule="auto"/>
        <w:ind w:left="720"/>
        <w:jc w:val="both"/>
        <w:rPr>
          <w:rFonts w:ascii="FrankRuehl" w:hAnsi="FrankRuehl" w:cs="FrankRuehl"/>
          <w:sz w:val="28"/>
          <w:szCs w:val="28"/>
          <w:rtl/>
        </w:rPr>
      </w:pPr>
    </w:p>
    <w:p w:rsidR="0087086A" w:rsidRDefault="0087086A" w:rsidP="0087086A">
      <w:pPr>
        <w:spacing w:line="360" w:lineRule="auto"/>
        <w:ind w:left="720"/>
        <w:jc w:val="both"/>
        <w:rPr>
          <w:rFonts w:ascii="FrankRuehl" w:hAnsi="FrankRuehl" w:cs="FrankRuehl"/>
          <w:sz w:val="28"/>
          <w:szCs w:val="28"/>
          <w:rtl/>
        </w:rPr>
      </w:pPr>
      <w:r>
        <w:rPr>
          <w:rFonts w:ascii="FrankRuehl" w:hAnsi="FrankRuehl" w:cs="FrankRuehl"/>
          <w:sz w:val="28"/>
          <w:szCs w:val="28"/>
          <w:rtl/>
        </w:rPr>
        <w:t xml:space="preserve">אמנם </w:t>
      </w:r>
      <w:r>
        <w:rPr>
          <w:rFonts w:ascii="FrankRuehl" w:hAnsi="FrankRuehl" w:cs="FrankRuehl" w:hint="cs"/>
          <w:sz w:val="28"/>
          <w:szCs w:val="28"/>
          <w:rtl/>
        </w:rPr>
        <w:t xml:space="preserve">העברות הכספים שפורטו בסעיפים 32.4-32.7 לעיל הן העברות כספים שחלקם </w:t>
      </w:r>
      <w:r>
        <w:rPr>
          <w:rFonts w:ascii="FrankRuehl" w:hAnsi="FrankRuehl" w:cs="FrankRuehl"/>
          <w:sz w:val="28"/>
          <w:szCs w:val="28"/>
          <w:rtl/>
        </w:rPr>
        <w:t xml:space="preserve">נעשו בהסתמך על מסמך שנחתם על ידי המנוחה, אלא שמאופן תיאור המנוחה והתנהלותה הכלכלית, קשה להלום כי העברות הכספים לנתבעים או לתובע נעשו "מחוץ" לחלוקת כספי העִזבון (לא נטענה טענה לחזקת מתנה). </w:t>
      </w:r>
    </w:p>
    <w:p w:rsidR="0087086A" w:rsidRDefault="0087086A" w:rsidP="0087086A">
      <w:pPr>
        <w:spacing w:line="360" w:lineRule="auto"/>
        <w:jc w:val="both"/>
        <w:rPr>
          <w:rFonts w:ascii="FrankRuehl" w:hAnsi="FrankRuehl" w:cs="FrankRuehl"/>
          <w:sz w:val="28"/>
          <w:szCs w:val="28"/>
          <w:rtl/>
        </w:rPr>
      </w:pPr>
    </w:p>
    <w:p w:rsidR="0087086A" w:rsidRDefault="00765BA7" w:rsidP="00606666">
      <w:pPr>
        <w:spacing w:line="360" w:lineRule="auto"/>
        <w:ind w:left="720"/>
        <w:jc w:val="both"/>
        <w:rPr>
          <w:rFonts w:ascii="FrankRuehl" w:hAnsi="FrankRuehl" w:cs="FrankRuehl"/>
          <w:sz w:val="28"/>
          <w:szCs w:val="28"/>
          <w:rtl/>
        </w:rPr>
      </w:pPr>
      <w:r>
        <w:rPr>
          <w:rFonts w:ascii="FrankRuehl" w:hAnsi="FrankRuehl" w:cs="FrankRuehl"/>
          <w:sz w:val="28"/>
          <w:szCs w:val="28"/>
          <w:rtl/>
        </w:rPr>
        <w:t xml:space="preserve">ודוק, על פי העדויות שהובאו, כל שעניֵין את המנוחה היו כספי הביטוח הלאומי ובהם המנוחה עשתה שימוש. יתרות הכספים בחשבונות לא נוהלו על ידה. התנהלות זו קיבלה סיוע מעדות עד חיצוני, מר </w:t>
      </w:r>
      <w:r w:rsidR="00606666">
        <w:rPr>
          <w:rFonts w:ascii="FrankRuehl" w:hAnsi="FrankRuehl" w:cs="FrankRuehl" w:hint="cs"/>
          <w:sz w:val="28"/>
          <w:szCs w:val="28"/>
          <w:rtl/>
        </w:rPr>
        <w:t>ט.ח.</w:t>
      </w:r>
      <w:r>
        <w:rPr>
          <w:rFonts w:ascii="FrankRuehl" w:hAnsi="FrankRuehl" w:cs="FrankRuehl"/>
          <w:sz w:val="28"/>
          <w:szCs w:val="28"/>
          <w:rtl/>
        </w:rPr>
        <w:t xml:space="preserve">, פקיד הבנק שטיפל בחשבון המנוחה במועד הרלוונטי. ראו </w:t>
      </w:r>
      <w:r w:rsidR="002B12E0">
        <w:rPr>
          <w:rFonts w:ascii="FrankRuehl" w:hAnsi="FrankRuehl" w:cs="FrankRuehl"/>
          <w:sz w:val="28"/>
          <w:szCs w:val="28"/>
          <w:rtl/>
        </w:rPr>
        <w:t xml:space="preserve">למשל עדותו בעמוד 22 שורות 1-13 </w:t>
      </w:r>
      <w:r w:rsidR="002B12E0">
        <w:rPr>
          <w:rFonts w:ascii="FrankRuehl" w:hAnsi="FrankRuehl" w:cs="FrankRuehl" w:hint="cs"/>
          <w:sz w:val="28"/>
          <w:szCs w:val="28"/>
          <w:rtl/>
        </w:rPr>
        <w:t>לפרוטוקול המתומלל</w:t>
      </w:r>
      <w:r>
        <w:rPr>
          <w:rFonts w:ascii="FrankRuehl" w:hAnsi="FrankRuehl" w:cs="FrankRuehl"/>
          <w:sz w:val="28"/>
          <w:szCs w:val="28"/>
          <w:rtl/>
        </w:rPr>
        <w:t>.</w:t>
      </w:r>
    </w:p>
    <w:p w:rsidR="0087086A" w:rsidRDefault="0087086A" w:rsidP="0087086A">
      <w:pPr>
        <w:spacing w:line="360" w:lineRule="auto"/>
        <w:ind w:left="720"/>
        <w:jc w:val="both"/>
        <w:rPr>
          <w:rFonts w:ascii="FrankRuehl" w:hAnsi="FrankRuehl" w:cs="FrankRuehl"/>
          <w:sz w:val="28"/>
          <w:szCs w:val="28"/>
          <w:rtl/>
        </w:rPr>
      </w:pPr>
    </w:p>
    <w:p w:rsidR="0087086A" w:rsidRDefault="00765BA7" w:rsidP="00606666">
      <w:pPr>
        <w:spacing w:line="360" w:lineRule="auto"/>
        <w:ind w:left="720"/>
        <w:jc w:val="both"/>
        <w:rPr>
          <w:rFonts w:ascii="FrankRuehl" w:hAnsi="FrankRuehl" w:cs="FrankRuehl"/>
          <w:sz w:val="28"/>
          <w:szCs w:val="28"/>
          <w:rtl/>
        </w:rPr>
      </w:pPr>
      <w:r>
        <w:rPr>
          <w:rFonts w:ascii="FrankRuehl" w:hAnsi="FrankRuehl" w:cs="FrankRuehl"/>
          <w:sz w:val="28"/>
          <w:szCs w:val="28"/>
          <w:rtl/>
        </w:rPr>
        <w:t xml:space="preserve">עד זה העיד כי – מבחינת המנוחה, העיקר היה כספי הביטוח הלאומי וכי לשם השימוש בהם ומשיכתם במזומן מדי חודש לידי המנוחה, צורף נתבע 1 כבעלים בחשבונות. ראו </w:t>
      </w:r>
      <w:r w:rsidR="002B12E0">
        <w:rPr>
          <w:rFonts w:ascii="FrankRuehl" w:hAnsi="FrankRuehl" w:cs="FrankRuehl" w:hint="cs"/>
          <w:sz w:val="28"/>
          <w:szCs w:val="28"/>
          <w:rtl/>
        </w:rPr>
        <w:t>בפרוטוקול המתומלל:</w:t>
      </w:r>
      <w:r w:rsidR="002B12E0">
        <w:rPr>
          <w:rFonts w:ascii="FrankRuehl" w:hAnsi="FrankRuehl" w:cs="FrankRuehl"/>
          <w:sz w:val="28"/>
          <w:szCs w:val="28"/>
          <w:rtl/>
        </w:rPr>
        <w:t xml:space="preserve"> </w:t>
      </w:r>
      <w:r>
        <w:rPr>
          <w:rFonts w:ascii="FrankRuehl" w:hAnsi="FrankRuehl" w:cs="FrankRuehl"/>
          <w:sz w:val="28"/>
          <w:szCs w:val="28"/>
          <w:rtl/>
        </w:rPr>
        <w:t xml:space="preserve">עדות העד מר </w:t>
      </w:r>
      <w:r w:rsidR="00606666">
        <w:rPr>
          <w:rFonts w:ascii="FrankRuehl" w:hAnsi="FrankRuehl" w:cs="FrankRuehl" w:hint="cs"/>
          <w:sz w:val="28"/>
          <w:szCs w:val="28"/>
          <w:rtl/>
        </w:rPr>
        <w:t xml:space="preserve">ט.ח. </w:t>
      </w:r>
      <w:r>
        <w:rPr>
          <w:rFonts w:ascii="FrankRuehl" w:hAnsi="FrankRuehl" w:cs="FrankRuehl"/>
          <w:sz w:val="28"/>
          <w:szCs w:val="28"/>
          <w:rtl/>
        </w:rPr>
        <w:t xml:space="preserve">בעמוד 25 שורות 13-16. כספים אלו, יחד עם </w:t>
      </w:r>
      <w:r>
        <w:rPr>
          <w:rFonts w:ascii="FrankRuehl" w:hAnsi="FrankRuehl" w:cs="FrankRuehl"/>
          <w:sz w:val="28"/>
          <w:szCs w:val="28"/>
          <w:rtl/>
        </w:rPr>
        <w:lastRenderedPageBreak/>
        <w:t xml:space="preserve">קִצבת הזִקנה, היו הכנסות המנוחה. ראו </w:t>
      </w:r>
      <w:r w:rsidR="002B12E0">
        <w:rPr>
          <w:rFonts w:ascii="FrankRuehl" w:hAnsi="FrankRuehl" w:cs="FrankRuehl" w:hint="cs"/>
          <w:sz w:val="28"/>
          <w:szCs w:val="28"/>
          <w:rtl/>
        </w:rPr>
        <w:t>בפרוטוקול המתומלל:</w:t>
      </w:r>
      <w:r w:rsidR="002B12E0">
        <w:rPr>
          <w:rFonts w:ascii="FrankRuehl" w:hAnsi="FrankRuehl" w:cs="FrankRuehl"/>
          <w:sz w:val="28"/>
          <w:szCs w:val="28"/>
          <w:rtl/>
        </w:rPr>
        <w:t xml:space="preserve"> </w:t>
      </w:r>
      <w:r>
        <w:rPr>
          <w:rFonts w:ascii="FrankRuehl" w:hAnsi="FrankRuehl" w:cs="FrankRuehl"/>
          <w:sz w:val="28"/>
          <w:szCs w:val="28"/>
          <w:rtl/>
        </w:rPr>
        <w:t xml:space="preserve">עדות העד </w:t>
      </w:r>
      <w:r w:rsidR="00606666">
        <w:rPr>
          <w:rFonts w:ascii="FrankRuehl" w:hAnsi="FrankRuehl" w:cs="FrankRuehl" w:hint="cs"/>
          <w:sz w:val="28"/>
          <w:szCs w:val="28"/>
          <w:rtl/>
        </w:rPr>
        <w:t xml:space="preserve">ט.ח. </w:t>
      </w:r>
      <w:r>
        <w:rPr>
          <w:rFonts w:ascii="FrankRuehl" w:hAnsi="FrankRuehl" w:cs="FrankRuehl"/>
          <w:sz w:val="28"/>
          <w:szCs w:val="28"/>
          <w:rtl/>
        </w:rPr>
        <w:t>בעמוד 4 שורות 6-26; עמוד 26 שורות 33 ואילך; עמוד 28 שורות 22-34; עמוד 29 שורה 19 ובתשובה לשאלת בית המשפט בעמוד 30 שורות 4-9, ועוד.</w:t>
      </w:r>
    </w:p>
    <w:p w:rsidR="000D74A2" w:rsidRDefault="000D74A2" w:rsidP="0087086A">
      <w:pPr>
        <w:spacing w:line="360" w:lineRule="auto"/>
        <w:ind w:left="720"/>
        <w:jc w:val="both"/>
        <w:rPr>
          <w:rFonts w:ascii="FrankRuehl" w:hAnsi="FrankRuehl" w:cs="FrankRuehl"/>
          <w:sz w:val="28"/>
          <w:szCs w:val="28"/>
          <w:rtl/>
        </w:rPr>
      </w:pPr>
    </w:p>
    <w:p w:rsidR="000D74A2" w:rsidRDefault="00765BA7" w:rsidP="000D74A2">
      <w:pPr>
        <w:spacing w:line="360" w:lineRule="auto"/>
        <w:ind w:left="720"/>
        <w:jc w:val="both"/>
        <w:rPr>
          <w:rFonts w:ascii="FrankRuehl" w:hAnsi="FrankRuehl" w:cs="FrankRuehl"/>
          <w:sz w:val="28"/>
          <w:szCs w:val="28"/>
          <w:rtl/>
        </w:rPr>
      </w:pPr>
      <w:r>
        <w:rPr>
          <w:rFonts w:ascii="FrankRuehl" w:hAnsi="FrankRuehl" w:cs="FrankRuehl"/>
          <w:sz w:val="28"/>
          <w:szCs w:val="28"/>
          <w:rtl/>
        </w:rPr>
        <w:t>גרסה זו מקבלת תמיכה בתכתובת שהוחלפה בין הנתבעים ובין עצמם</w:t>
      </w:r>
      <w:r w:rsidR="000D74A2">
        <w:rPr>
          <w:rFonts w:ascii="FrankRuehl" w:hAnsi="FrankRuehl" w:cs="FrankRuehl" w:hint="cs"/>
          <w:sz w:val="28"/>
          <w:szCs w:val="28"/>
          <w:rtl/>
        </w:rPr>
        <w:t>;</w:t>
      </w:r>
      <w:r>
        <w:rPr>
          <w:rFonts w:ascii="FrankRuehl" w:hAnsi="FrankRuehl" w:cs="FrankRuehl"/>
          <w:sz w:val="28"/>
          <w:szCs w:val="28"/>
          <w:rtl/>
        </w:rPr>
        <w:t xml:space="preserve"> </w:t>
      </w:r>
      <w:r w:rsidR="000D74A2">
        <w:rPr>
          <w:rFonts w:ascii="FrankRuehl" w:hAnsi="FrankRuehl" w:cs="FrankRuehl" w:hint="cs"/>
          <w:sz w:val="28"/>
          <w:szCs w:val="28"/>
          <w:rtl/>
        </w:rPr>
        <w:t>ב</w:t>
      </w:r>
      <w:r>
        <w:rPr>
          <w:rFonts w:ascii="FrankRuehl" w:hAnsi="FrankRuehl" w:cs="FrankRuehl"/>
          <w:sz w:val="28"/>
          <w:szCs w:val="28"/>
          <w:rtl/>
        </w:rPr>
        <w:t>מכתב מיום 24.02.2015, כ</w:t>
      </w:r>
      <w:r w:rsidR="000D74A2">
        <w:rPr>
          <w:rFonts w:ascii="FrankRuehl" w:hAnsi="FrankRuehl" w:cs="FrankRuehl" w:hint="cs"/>
          <w:sz w:val="28"/>
          <w:szCs w:val="28"/>
          <w:rtl/>
        </w:rPr>
        <w:t>ו</w:t>
      </w:r>
      <w:r>
        <w:rPr>
          <w:rFonts w:ascii="FrankRuehl" w:hAnsi="FrankRuehl" w:cs="FrankRuehl"/>
          <w:sz w:val="28"/>
          <w:szCs w:val="28"/>
          <w:rtl/>
        </w:rPr>
        <w:t>תב ב"כ נתבע 2 לב"כ נתבע 1</w:t>
      </w:r>
      <w:r w:rsidR="000D74A2">
        <w:rPr>
          <w:rFonts w:ascii="FrankRuehl" w:hAnsi="FrankRuehl" w:cs="FrankRuehl" w:hint="cs"/>
          <w:sz w:val="28"/>
          <w:szCs w:val="28"/>
          <w:rtl/>
        </w:rPr>
        <w:t xml:space="preserve"> כי מרשו מבקש </w:t>
      </w:r>
      <w:r>
        <w:rPr>
          <w:rFonts w:ascii="FrankRuehl" w:hAnsi="FrankRuehl" w:cs="FrankRuehl"/>
          <w:sz w:val="28"/>
          <w:szCs w:val="28"/>
          <w:rtl/>
        </w:rPr>
        <w:t xml:space="preserve">לקבל תשובות בנוגע לחלוקת כספים מעִזבון האב. בתשובה למכתב זה, משיב ב"כ נתבע 1 </w:t>
      </w:r>
      <w:r w:rsidR="000D74A2">
        <w:rPr>
          <w:rFonts w:ascii="FrankRuehl" w:hAnsi="FrankRuehl" w:cs="FrankRuehl" w:hint="cs"/>
          <w:sz w:val="28"/>
          <w:szCs w:val="28"/>
          <w:rtl/>
        </w:rPr>
        <w:t xml:space="preserve">לב"כ נתבע 2, כי </w:t>
      </w:r>
      <w:r>
        <w:rPr>
          <w:rFonts w:ascii="FrankRuehl" w:hAnsi="FrankRuehl" w:cs="FrankRuehl"/>
          <w:sz w:val="28"/>
          <w:szCs w:val="28"/>
          <w:rtl/>
        </w:rPr>
        <w:t>כי הכספים שחולקו היו כספי ירושה מעִזבון האב</w:t>
      </w:r>
      <w:r w:rsidR="000D74A2">
        <w:rPr>
          <w:rFonts w:ascii="FrankRuehl" w:hAnsi="FrankRuehl" w:cs="FrankRuehl" w:hint="cs"/>
          <w:sz w:val="28"/>
          <w:szCs w:val="28"/>
          <w:rtl/>
        </w:rPr>
        <w:t xml:space="preserve">. לא נכתב שם כפי שנטען כיום כי מדובר בחלוקה מכספי האם המנוחה או רצונה והם מעבר לכספי </w:t>
      </w:r>
      <w:r w:rsidR="009655AD">
        <w:rPr>
          <w:rFonts w:ascii="FrankRuehl" w:hAnsi="FrankRuehl" w:cs="FrankRuehl" w:hint="cs"/>
          <w:sz w:val="28"/>
          <w:szCs w:val="28"/>
          <w:rtl/>
        </w:rPr>
        <w:t>חלוקת כספי עיזבון</w:t>
      </w:r>
      <w:r>
        <w:rPr>
          <w:rFonts w:ascii="FrankRuehl" w:hAnsi="FrankRuehl" w:cs="FrankRuehl"/>
          <w:sz w:val="28"/>
          <w:szCs w:val="28"/>
          <w:rtl/>
        </w:rPr>
        <w:t>. ראו מכתב ב"כ נתבע 1 מיום 26.03.2015. התכתובת צורפה כנספחים 3-4 לתצהיר התובע.</w:t>
      </w:r>
    </w:p>
    <w:p w:rsidR="000D74A2" w:rsidRDefault="000D74A2" w:rsidP="000D74A2">
      <w:pPr>
        <w:spacing w:line="360" w:lineRule="auto"/>
        <w:ind w:left="720"/>
        <w:jc w:val="both"/>
        <w:rPr>
          <w:rFonts w:ascii="FrankRuehl" w:hAnsi="FrankRuehl" w:cs="FrankRuehl"/>
          <w:sz w:val="28"/>
          <w:szCs w:val="28"/>
          <w:rtl/>
        </w:rPr>
      </w:pPr>
    </w:p>
    <w:p w:rsidR="002953B6" w:rsidRDefault="00765BA7" w:rsidP="002953B6">
      <w:pPr>
        <w:spacing w:line="360" w:lineRule="auto"/>
        <w:ind w:left="720"/>
        <w:jc w:val="both"/>
        <w:rPr>
          <w:rFonts w:ascii="FrankRuehl" w:hAnsi="FrankRuehl" w:cs="FrankRuehl"/>
          <w:sz w:val="28"/>
          <w:szCs w:val="28"/>
          <w:rtl/>
        </w:rPr>
      </w:pPr>
      <w:r>
        <w:rPr>
          <w:rFonts w:ascii="FrankRuehl" w:hAnsi="FrankRuehl" w:cs="FrankRuehl"/>
          <w:sz w:val="28"/>
          <w:szCs w:val="28"/>
          <w:rtl/>
        </w:rPr>
        <w:t xml:space="preserve">תמיכה נוספת </w:t>
      </w:r>
      <w:r w:rsidR="000E7EFC">
        <w:rPr>
          <w:rFonts w:ascii="FrankRuehl" w:hAnsi="FrankRuehl" w:cs="FrankRuehl" w:hint="cs"/>
          <w:sz w:val="28"/>
          <w:szCs w:val="28"/>
          <w:rtl/>
        </w:rPr>
        <w:t xml:space="preserve">קיימת </w:t>
      </w:r>
      <w:r w:rsidR="000D74A2">
        <w:rPr>
          <w:rFonts w:ascii="FrankRuehl" w:hAnsi="FrankRuehl" w:cs="FrankRuehl" w:hint="cs"/>
          <w:sz w:val="28"/>
          <w:szCs w:val="28"/>
          <w:rtl/>
        </w:rPr>
        <w:t xml:space="preserve">מכח </w:t>
      </w:r>
      <w:r>
        <w:rPr>
          <w:rFonts w:ascii="FrankRuehl" w:hAnsi="FrankRuehl" w:cs="FrankRuehl"/>
          <w:sz w:val="28"/>
          <w:szCs w:val="28"/>
          <w:rtl/>
        </w:rPr>
        <w:t xml:space="preserve">גובה הסכומים עצמם. שהרי לאחר העברות הכספים </w:t>
      </w:r>
      <w:r w:rsidR="000E7EFC">
        <w:rPr>
          <w:rFonts w:ascii="FrankRuehl" w:hAnsi="FrankRuehl" w:cs="FrankRuehl" w:hint="cs"/>
          <w:sz w:val="28"/>
          <w:szCs w:val="28"/>
          <w:rtl/>
        </w:rPr>
        <w:t>הנ"ל</w:t>
      </w:r>
      <w:r>
        <w:rPr>
          <w:rFonts w:ascii="FrankRuehl" w:hAnsi="FrankRuehl" w:cs="FrankRuehl"/>
          <w:sz w:val="28"/>
          <w:szCs w:val="28"/>
          <w:rtl/>
        </w:rPr>
        <w:t xml:space="preserve">, נותרה האֵם המנוחה עם יתרת חשבון בסך כ-40,000 ₪ בלבד. </w:t>
      </w:r>
      <w:r w:rsidR="000D74A2">
        <w:rPr>
          <w:rFonts w:ascii="FrankRuehl" w:hAnsi="FrankRuehl" w:cs="FrankRuehl" w:hint="cs"/>
          <w:sz w:val="28"/>
          <w:szCs w:val="28"/>
          <w:rtl/>
        </w:rPr>
        <w:t xml:space="preserve"> </w:t>
      </w:r>
      <w:r>
        <w:rPr>
          <w:rFonts w:ascii="FrankRuehl" w:hAnsi="FrankRuehl" w:cs="FrankRuehl"/>
          <w:sz w:val="28"/>
          <w:szCs w:val="28"/>
          <w:rtl/>
        </w:rPr>
        <w:t xml:space="preserve">הדעת נותנת כי אדם, בערוב ימיו, לא יחלק את כל כספו וישאר ללא בטוחה כספית נזילה, שמא יזדקק לפתע לטיפול רפואי או אִשפוז. אדם בערוב ימיו אינו מותיר עצמו נתון לחסדי מקבל מתנה. ראו בהקשר זה ע"מ (י-ם) 2022/07 </w:t>
      </w:r>
      <w:r>
        <w:rPr>
          <w:rFonts w:ascii="FrankRuehl" w:hAnsi="FrankRuehl" w:cs="FrankRuehl"/>
          <w:b/>
          <w:bCs/>
          <w:sz w:val="28"/>
          <w:szCs w:val="28"/>
          <w:rtl/>
        </w:rPr>
        <w:t>פלונית נ' אלמונית</w:t>
      </w:r>
      <w:r>
        <w:rPr>
          <w:rFonts w:ascii="FrankRuehl" w:hAnsi="FrankRuehl" w:cs="FrankRuehl"/>
          <w:sz w:val="28"/>
          <w:szCs w:val="28"/>
          <w:rtl/>
        </w:rPr>
        <w:t xml:space="preserve">, סעיף 89-90 לפסה"ד מיום 08.06.2009. </w:t>
      </w:r>
    </w:p>
    <w:p w:rsidR="00765BA7" w:rsidRDefault="00765BA7" w:rsidP="002953B6">
      <w:pPr>
        <w:spacing w:line="360" w:lineRule="auto"/>
        <w:ind w:left="720"/>
        <w:jc w:val="both"/>
        <w:rPr>
          <w:rFonts w:ascii="FrankRuehl" w:hAnsi="FrankRuehl" w:cs="FrankRuehl"/>
          <w:sz w:val="28"/>
          <w:szCs w:val="28"/>
          <w:rtl/>
        </w:rPr>
      </w:pPr>
      <w:r>
        <w:rPr>
          <w:rFonts w:ascii="FrankRuehl" w:hAnsi="FrankRuehl" w:cs="FrankRuehl"/>
          <w:b/>
          <w:bCs/>
          <w:sz w:val="28"/>
          <w:szCs w:val="28"/>
          <w:rtl/>
        </w:rPr>
        <w:t xml:space="preserve">על כן, ובהעדר הסבר מיוחד להעברות אלו </w:t>
      </w:r>
      <w:r w:rsidR="009655AD">
        <w:rPr>
          <w:rFonts w:ascii="FrankRuehl" w:hAnsi="FrankRuehl" w:cs="FrankRuehl" w:hint="cs"/>
          <w:b/>
          <w:bCs/>
          <w:sz w:val="28"/>
          <w:szCs w:val="28"/>
          <w:rtl/>
        </w:rPr>
        <w:t xml:space="preserve">כהעברות מחוץ לחלוקת כספי עיזבון </w:t>
      </w:r>
      <w:r>
        <w:rPr>
          <w:rFonts w:ascii="FrankRuehl" w:hAnsi="FrankRuehl" w:cs="FrankRuehl"/>
          <w:b/>
          <w:bCs/>
          <w:sz w:val="28"/>
          <w:szCs w:val="28"/>
          <w:rtl/>
        </w:rPr>
        <w:t>או טענה לתחולת חזקת המתנה, עדיפה בעיני הגרסה כי ההעברות נעשו כחלק מהעברות שהעבירו לעצמם הנתבעים - "</w:t>
      </w:r>
      <w:r>
        <w:rPr>
          <w:rFonts w:ascii="FrankRuehl" w:hAnsi="FrankRuehl" w:cs="Miriam"/>
          <w:b/>
          <w:bCs/>
          <w:sz w:val="28"/>
          <w:szCs w:val="23"/>
          <w:rtl/>
        </w:rPr>
        <w:t>כי מגיע לנו</w:t>
      </w:r>
      <w:r w:rsidR="009655AD">
        <w:rPr>
          <w:rFonts w:ascii="FrankRuehl" w:hAnsi="FrankRuehl" w:cs="FrankRuehl"/>
          <w:b/>
          <w:bCs/>
          <w:sz w:val="28"/>
          <w:szCs w:val="28"/>
          <w:rtl/>
        </w:rPr>
        <w:t>"</w:t>
      </w:r>
      <w:r w:rsidR="009655AD">
        <w:rPr>
          <w:rFonts w:ascii="FrankRuehl" w:hAnsi="FrankRuehl" w:cs="FrankRuehl" w:hint="cs"/>
          <w:b/>
          <w:bCs/>
          <w:sz w:val="28"/>
          <w:szCs w:val="28"/>
          <w:rtl/>
        </w:rPr>
        <w:t xml:space="preserve"> ויש להחשיבם על חשבון חלקם בעיזבון.</w:t>
      </w:r>
      <w:r>
        <w:rPr>
          <w:rFonts w:ascii="FrankRuehl" w:hAnsi="FrankRuehl" w:cs="FrankRuehl"/>
          <w:sz w:val="28"/>
          <w:szCs w:val="28"/>
          <w:rtl/>
        </w:rPr>
        <w:t xml:space="preserve"> ראו עדות נתבע 1 בעמוד 105 שורות 5-7 </w:t>
      </w:r>
      <w:r w:rsidR="002B12E0">
        <w:rPr>
          <w:rFonts w:ascii="FrankRuehl" w:hAnsi="FrankRuehl" w:cs="FrankRuehl" w:hint="cs"/>
          <w:sz w:val="28"/>
          <w:szCs w:val="28"/>
          <w:rtl/>
        </w:rPr>
        <w:t>לפרוטוקול המתומלל</w:t>
      </w:r>
      <w:r>
        <w:rPr>
          <w:rFonts w:ascii="FrankRuehl" w:hAnsi="FrankRuehl" w:cs="FrankRuehl"/>
          <w:sz w:val="28"/>
          <w:szCs w:val="28"/>
          <w:rtl/>
        </w:rPr>
        <w:t>:</w:t>
      </w:r>
    </w:p>
    <w:p w:rsidR="0087086A" w:rsidRDefault="0087086A" w:rsidP="0087086A">
      <w:pPr>
        <w:spacing w:line="360" w:lineRule="auto"/>
        <w:ind w:left="720" w:firstLine="720"/>
        <w:jc w:val="both"/>
        <w:rPr>
          <w:rFonts w:ascii="FrankRuehl" w:hAnsi="FrankRuehl" w:cs="FrankRuehl"/>
          <w:sz w:val="28"/>
          <w:szCs w:val="28"/>
        </w:rPr>
      </w:pPr>
    </w:p>
    <w:p w:rsidR="00765BA7" w:rsidRPr="00573E92" w:rsidRDefault="00765BA7" w:rsidP="00765BA7">
      <w:pPr>
        <w:ind w:left="4320" w:right="1134" w:hanging="2880"/>
        <w:jc w:val="both"/>
        <w:rPr>
          <w:rFonts w:ascii="FrankRuehl" w:hAnsi="FrankRuehl" w:cs="Miriam"/>
          <w:noProof w:val="0"/>
          <w:sz w:val="20"/>
          <w:szCs w:val="20"/>
          <w:rtl/>
          <w:lang w:val="x-none" w:eastAsia="he-IL"/>
        </w:rPr>
      </w:pPr>
      <w:r w:rsidRPr="00573E92">
        <w:rPr>
          <w:rFonts w:ascii="FrankRuehl" w:hAnsi="FrankRuehl" w:cs="Miriam"/>
          <w:sz w:val="20"/>
          <w:szCs w:val="20"/>
          <w:rtl/>
          <w:lang w:val="x-none" w:eastAsia="he-IL"/>
        </w:rPr>
        <w:t xml:space="preserve">"העד, מר </w:t>
      </w:r>
      <w:r w:rsidR="003E4826">
        <w:rPr>
          <w:rFonts w:ascii="FrankRuehl" w:hAnsi="FrankRuehl" w:cs="Miriam"/>
          <w:sz w:val="20"/>
          <w:szCs w:val="20"/>
          <w:rtl/>
          <w:lang w:val="x-none" w:eastAsia="he-IL"/>
        </w:rPr>
        <w:t>ר'</w:t>
      </w:r>
      <w:r w:rsidRPr="00573E92">
        <w:rPr>
          <w:rFonts w:ascii="FrankRuehl" w:hAnsi="FrankRuehl" w:cs="Miriam"/>
          <w:sz w:val="20"/>
          <w:szCs w:val="20"/>
          <w:rtl/>
          <w:lang w:val="x-none" w:eastAsia="he-IL"/>
        </w:rPr>
        <w:t>, אמ.:</w:t>
      </w:r>
      <w:r w:rsidRPr="00573E92">
        <w:rPr>
          <w:rFonts w:ascii="FrankRuehl" w:hAnsi="FrankRuehl" w:cs="Miriam"/>
          <w:sz w:val="20"/>
          <w:szCs w:val="20"/>
          <w:rtl/>
          <w:lang w:val="x-none" w:eastAsia="he-IL"/>
        </w:rPr>
        <w:tab/>
        <w:t>כבוד השופטת בית משפט. אני לקחתי 850. ואח שלי לקח</w:t>
      </w:r>
    </w:p>
    <w:p w:rsidR="00765BA7" w:rsidRPr="00573E92" w:rsidRDefault="00765BA7" w:rsidP="00765BA7">
      <w:pPr>
        <w:ind w:left="2160" w:right="1134" w:hanging="72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 xml:space="preserve">900.  </w:t>
      </w:r>
    </w:p>
    <w:p w:rsidR="00765BA7" w:rsidRPr="00573E92" w:rsidRDefault="00765BA7" w:rsidP="00765BA7">
      <w:pPr>
        <w:ind w:left="2880" w:right="1134" w:hanging="1440"/>
        <w:jc w:val="both"/>
        <w:rPr>
          <w:rFonts w:ascii="FrankRuehl" w:hAnsi="FrankRuehl" w:cs="Miriam"/>
          <w:sz w:val="20"/>
          <w:szCs w:val="20"/>
          <w:lang w:val="x-none" w:eastAsia="he-IL"/>
        </w:rPr>
      </w:pPr>
      <w:r w:rsidRPr="00573E92">
        <w:rPr>
          <w:rFonts w:ascii="FrankRuehl" w:hAnsi="FrankRuehl" w:cs="Miriam"/>
          <w:sz w:val="20"/>
          <w:szCs w:val="20"/>
          <w:rtl/>
          <w:lang w:val="x-none" w:eastAsia="he-IL"/>
        </w:rPr>
        <w:t>עו"ד אטיאס:</w:t>
      </w:r>
      <w:r w:rsidRPr="00573E92">
        <w:rPr>
          <w:rFonts w:ascii="FrankRuehl" w:hAnsi="FrankRuehl" w:cs="Miriam"/>
          <w:sz w:val="20"/>
          <w:szCs w:val="20"/>
          <w:rtl/>
          <w:lang w:val="x-none" w:eastAsia="he-IL"/>
        </w:rPr>
        <w:tab/>
      </w:r>
      <w:r w:rsidRPr="00573E92">
        <w:rPr>
          <w:rFonts w:ascii="FrankRuehl" w:hAnsi="FrankRuehl" w:cs="Miriam"/>
          <w:sz w:val="20"/>
          <w:szCs w:val="20"/>
          <w:rtl/>
          <w:lang w:val="x-none" w:eastAsia="he-IL"/>
        </w:rPr>
        <w:tab/>
      </w:r>
      <w:r w:rsidRPr="00573E92">
        <w:rPr>
          <w:rFonts w:ascii="FrankRuehl" w:hAnsi="FrankRuehl" w:cs="Miriam"/>
          <w:sz w:val="20"/>
          <w:szCs w:val="20"/>
          <w:rtl/>
          <w:lang w:val="x-none" w:eastAsia="he-IL"/>
        </w:rPr>
        <w:tab/>
        <w:t>כן, אני יודע.</w:t>
      </w:r>
    </w:p>
    <w:p w:rsidR="00765BA7" w:rsidRPr="00573E92" w:rsidRDefault="00765BA7" w:rsidP="00765BA7">
      <w:pPr>
        <w:ind w:left="2880" w:right="1134" w:hanging="144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 xml:space="preserve">העד, מר </w:t>
      </w:r>
      <w:r w:rsidR="003E4826">
        <w:rPr>
          <w:rFonts w:ascii="FrankRuehl" w:hAnsi="FrankRuehl" w:cs="Miriam"/>
          <w:sz w:val="20"/>
          <w:szCs w:val="20"/>
          <w:rtl/>
          <w:lang w:val="x-none" w:eastAsia="he-IL"/>
        </w:rPr>
        <w:t>ר'</w:t>
      </w:r>
      <w:r w:rsidRPr="00573E92">
        <w:rPr>
          <w:rFonts w:ascii="FrankRuehl" w:hAnsi="FrankRuehl" w:cs="Miriam"/>
          <w:sz w:val="20"/>
          <w:szCs w:val="20"/>
          <w:rtl/>
          <w:lang w:val="x-none" w:eastAsia="he-IL"/>
        </w:rPr>
        <w:t>, אמ.:</w:t>
      </w:r>
      <w:r w:rsidRPr="00573E92">
        <w:rPr>
          <w:rFonts w:ascii="FrankRuehl" w:hAnsi="FrankRuehl" w:cs="Miriam"/>
          <w:sz w:val="20"/>
          <w:szCs w:val="20"/>
          <w:rtl/>
          <w:lang w:val="x-none" w:eastAsia="he-IL"/>
        </w:rPr>
        <w:tab/>
      </w:r>
      <w:r w:rsidRPr="00573E92">
        <w:rPr>
          <w:rFonts w:ascii="FrankRuehl" w:hAnsi="FrankRuehl" w:cs="Miriam"/>
          <w:sz w:val="20"/>
          <w:szCs w:val="20"/>
          <w:rtl/>
          <w:lang w:val="x-none" w:eastAsia="he-IL"/>
        </w:rPr>
        <w:tab/>
        <w:t>לקחתי, הכנסתי לחשבון שלי."</w:t>
      </w:r>
    </w:p>
    <w:p w:rsidR="00765BA7" w:rsidRPr="00573E92" w:rsidRDefault="00765BA7" w:rsidP="00765BA7">
      <w:pPr>
        <w:ind w:left="2160" w:hanging="720"/>
        <w:jc w:val="both"/>
        <w:rPr>
          <w:rFonts w:ascii="FrankRuehl" w:hAnsi="FrankRuehl" w:cs="Miriam"/>
          <w:sz w:val="20"/>
          <w:szCs w:val="20"/>
          <w:rtl/>
        </w:rPr>
      </w:pPr>
    </w:p>
    <w:p w:rsidR="00765BA7" w:rsidRDefault="00765BA7" w:rsidP="00765BA7">
      <w:pPr>
        <w:spacing w:line="360" w:lineRule="auto"/>
        <w:ind w:left="720"/>
        <w:jc w:val="both"/>
        <w:rPr>
          <w:rFonts w:ascii="FrankRuehl" w:hAnsi="FrankRuehl" w:cs="FrankRuehl"/>
          <w:sz w:val="12"/>
          <w:szCs w:val="12"/>
          <w:rtl/>
        </w:rPr>
      </w:pPr>
    </w:p>
    <w:p w:rsidR="00573E92" w:rsidRDefault="00573E92" w:rsidP="002953B6">
      <w:pPr>
        <w:spacing w:line="360" w:lineRule="auto"/>
        <w:ind w:left="720"/>
        <w:jc w:val="both"/>
        <w:rPr>
          <w:rFonts w:ascii="FrankRuehl" w:hAnsi="FrankRuehl" w:cs="FrankRuehl"/>
          <w:sz w:val="28"/>
          <w:szCs w:val="28"/>
          <w:rtl/>
        </w:rPr>
      </w:pPr>
    </w:p>
    <w:p w:rsidR="00765BA7" w:rsidRDefault="00765BA7" w:rsidP="002953B6">
      <w:pPr>
        <w:spacing w:line="360" w:lineRule="auto"/>
        <w:ind w:left="720"/>
        <w:jc w:val="both"/>
        <w:rPr>
          <w:rFonts w:ascii="FrankRuehl" w:hAnsi="FrankRuehl" w:cs="FrankRuehl"/>
          <w:sz w:val="28"/>
          <w:szCs w:val="28"/>
          <w:rtl/>
        </w:rPr>
      </w:pPr>
      <w:r>
        <w:rPr>
          <w:rFonts w:ascii="FrankRuehl" w:hAnsi="FrankRuehl" w:cs="FrankRuehl"/>
          <w:sz w:val="28"/>
          <w:szCs w:val="28"/>
          <w:rtl/>
        </w:rPr>
        <w:t xml:space="preserve">וראו עמוד 105 שורה 35 </w:t>
      </w:r>
      <w:r w:rsidR="002B12E0">
        <w:rPr>
          <w:rFonts w:ascii="FrankRuehl" w:hAnsi="FrankRuehl" w:cs="FrankRuehl" w:hint="cs"/>
          <w:sz w:val="28"/>
          <w:szCs w:val="28"/>
          <w:rtl/>
        </w:rPr>
        <w:t>לפרוטוקול המתומלל</w:t>
      </w:r>
      <w:r w:rsidR="002B12E0">
        <w:rPr>
          <w:rFonts w:ascii="FrankRuehl" w:hAnsi="FrankRuehl" w:cs="FrankRuehl"/>
          <w:sz w:val="28"/>
          <w:szCs w:val="28"/>
          <w:rtl/>
        </w:rPr>
        <w:t xml:space="preserve"> </w:t>
      </w:r>
      <w:r>
        <w:rPr>
          <w:rFonts w:ascii="FrankRuehl" w:hAnsi="FrankRuehl" w:cs="FrankRuehl"/>
          <w:sz w:val="28"/>
          <w:szCs w:val="28"/>
          <w:rtl/>
        </w:rPr>
        <w:t>שם שואל נתבע 1, בהתייחס למועד פתיחת חשבון בנק נוסף לאֵם המנוחה חשבון שבו נתבע 2 היה שותף:</w:t>
      </w:r>
    </w:p>
    <w:p w:rsidR="00765BA7" w:rsidRDefault="00765BA7" w:rsidP="00765BA7">
      <w:pPr>
        <w:ind w:left="720" w:firstLine="720"/>
        <w:jc w:val="both"/>
        <w:rPr>
          <w:rFonts w:ascii="FrankRuehl" w:hAnsi="FrankRuehl" w:cs="FrankRuehl"/>
          <w:sz w:val="28"/>
          <w:szCs w:val="28"/>
          <w:rtl/>
        </w:rPr>
      </w:pPr>
    </w:p>
    <w:p w:rsidR="00765BA7" w:rsidRPr="00573E92" w:rsidRDefault="00765BA7" w:rsidP="00765BA7">
      <w:pPr>
        <w:ind w:left="4320" w:right="1134" w:hanging="2880"/>
        <w:jc w:val="both"/>
        <w:rPr>
          <w:rFonts w:ascii="FrankRuehl" w:hAnsi="FrankRuehl" w:cs="Miriam"/>
          <w:noProof w:val="0"/>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"זה אחרי, אחרי שחילקנו את הכסף?"</w:t>
      </w:r>
    </w:p>
    <w:p w:rsidR="00765BA7" w:rsidRDefault="00765BA7" w:rsidP="00765BA7">
      <w:pPr>
        <w:spacing w:line="360" w:lineRule="auto"/>
        <w:ind w:left="720" w:hanging="720"/>
        <w:jc w:val="both"/>
        <w:rPr>
          <w:rFonts w:ascii="FrankRuehl" w:hAnsi="FrankRuehl" w:cs="FrankRuehl"/>
          <w:sz w:val="28"/>
          <w:szCs w:val="28"/>
          <w:rtl/>
        </w:rPr>
      </w:pPr>
      <w:r>
        <w:rPr>
          <w:rFonts w:ascii="FrankRuehl" w:hAnsi="FrankRuehl" w:cs="FrankRuehl"/>
          <w:sz w:val="28"/>
          <w:szCs w:val="28"/>
          <w:rtl/>
        </w:rPr>
        <w:lastRenderedPageBreak/>
        <w:tab/>
      </w:r>
    </w:p>
    <w:p w:rsidR="00765BA7" w:rsidRDefault="00765BA7" w:rsidP="002953B6">
      <w:pPr>
        <w:spacing w:line="360" w:lineRule="auto"/>
        <w:ind w:firstLine="720"/>
        <w:jc w:val="both"/>
        <w:rPr>
          <w:rFonts w:ascii="FrankRuehl" w:hAnsi="FrankRuehl" w:cs="FrankRuehl"/>
          <w:sz w:val="28"/>
          <w:szCs w:val="28"/>
          <w:rtl/>
        </w:rPr>
      </w:pPr>
      <w:r>
        <w:rPr>
          <w:rFonts w:ascii="FrankRuehl" w:hAnsi="FrankRuehl" w:cs="FrankRuehl"/>
          <w:sz w:val="28"/>
          <w:szCs w:val="28"/>
          <w:rtl/>
        </w:rPr>
        <w:t>ועוד ראו עמוד 101 שורה 5 ואילך</w:t>
      </w:r>
      <w:r w:rsidR="002B12E0">
        <w:rPr>
          <w:rFonts w:ascii="FrankRuehl" w:hAnsi="FrankRuehl" w:cs="FrankRuehl" w:hint="cs"/>
          <w:sz w:val="28"/>
          <w:szCs w:val="28"/>
          <w:rtl/>
        </w:rPr>
        <w:t xml:space="preserve"> לפרוטוקול המתומלל</w:t>
      </w:r>
      <w:r>
        <w:rPr>
          <w:rFonts w:ascii="FrankRuehl" w:hAnsi="FrankRuehl" w:cs="FrankRuehl"/>
          <w:sz w:val="28"/>
          <w:szCs w:val="28"/>
          <w:rtl/>
        </w:rPr>
        <w:t>:</w:t>
      </w:r>
    </w:p>
    <w:p w:rsidR="00765BA7" w:rsidRDefault="00765BA7" w:rsidP="00765BA7">
      <w:pPr>
        <w:spacing w:line="360" w:lineRule="auto"/>
        <w:jc w:val="both"/>
        <w:rPr>
          <w:rFonts w:ascii="FrankRuehl" w:hAnsi="FrankRuehl" w:cs="FrankRuehl"/>
          <w:sz w:val="28"/>
          <w:szCs w:val="28"/>
          <w:rtl/>
        </w:rPr>
      </w:pPr>
    </w:p>
    <w:p w:rsidR="00765BA7" w:rsidRPr="00573E92" w:rsidRDefault="00765BA7" w:rsidP="00765BA7">
      <w:pPr>
        <w:ind w:left="2880" w:right="1134" w:hanging="1440"/>
        <w:jc w:val="both"/>
        <w:rPr>
          <w:rFonts w:ascii="FrankRuehl" w:hAnsi="FrankRuehl" w:cs="Miriam"/>
          <w:noProof w:val="0"/>
          <w:sz w:val="20"/>
          <w:szCs w:val="20"/>
          <w:rtl/>
          <w:lang w:val="x-none" w:eastAsia="he-IL"/>
        </w:rPr>
      </w:pPr>
      <w:r w:rsidRPr="00573E92">
        <w:rPr>
          <w:rFonts w:ascii="FrankRuehl" w:hAnsi="FrankRuehl" w:cs="Miriam"/>
          <w:sz w:val="20"/>
          <w:szCs w:val="20"/>
          <w:rtl/>
          <w:lang w:val="x-none" w:eastAsia="he-IL"/>
        </w:rPr>
        <w:t xml:space="preserve">"העד, מר </w:t>
      </w:r>
      <w:r w:rsidR="003E4826">
        <w:rPr>
          <w:rFonts w:ascii="FrankRuehl" w:hAnsi="FrankRuehl" w:cs="Miriam"/>
          <w:sz w:val="20"/>
          <w:szCs w:val="20"/>
          <w:rtl/>
          <w:lang w:val="x-none" w:eastAsia="he-IL"/>
        </w:rPr>
        <w:t>ר'</w:t>
      </w:r>
      <w:r w:rsidRPr="00573E92">
        <w:rPr>
          <w:rFonts w:ascii="FrankRuehl" w:hAnsi="FrankRuehl" w:cs="Miriam"/>
          <w:sz w:val="20"/>
          <w:szCs w:val="20"/>
          <w:rtl/>
          <w:lang w:val="x-none" w:eastAsia="he-IL"/>
        </w:rPr>
        <w:t>, אמ.:</w:t>
      </w:r>
      <w:r w:rsidRPr="00573E92">
        <w:rPr>
          <w:rFonts w:ascii="FrankRuehl" w:hAnsi="FrankRuehl" w:cs="Miriam"/>
          <w:sz w:val="20"/>
          <w:szCs w:val="20"/>
          <w:rtl/>
          <w:lang w:val="x-none" w:eastAsia="he-IL"/>
        </w:rPr>
        <w:tab/>
      </w:r>
      <w:r w:rsidRPr="00573E92">
        <w:rPr>
          <w:rFonts w:ascii="FrankRuehl" w:hAnsi="FrankRuehl" w:cs="Miriam"/>
          <w:sz w:val="20"/>
          <w:szCs w:val="20"/>
          <w:rtl/>
          <w:lang w:val="x-none" w:eastAsia="he-IL"/>
        </w:rPr>
        <w:tab/>
        <w:t>טוב.</w:t>
      </w:r>
    </w:p>
    <w:p w:rsidR="00765BA7" w:rsidRPr="00573E92" w:rsidRDefault="00765BA7" w:rsidP="00765BA7">
      <w:pPr>
        <w:ind w:left="4320" w:right="1134" w:hanging="2880"/>
        <w:jc w:val="both"/>
        <w:rPr>
          <w:rFonts w:ascii="FrankRuehl" w:hAnsi="FrankRuehl" w:cs="Miriam"/>
          <w:sz w:val="20"/>
          <w:szCs w:val="20"/>
          <w:lang w:val="x-none" w:eastAsia="he-IL"/>
        </w:rPr>
      </w:pPr>
      <w:r w:rsidRPr="00573E92">
        <w:rPr>
          <w:rFonts w:ascii="FrankRuehl" w:hAnsi="FrankRuehl" w:cs="Miriam"/>
          <w:sz w:val="20"/>
          <w:szCs w:val="20"/>
          <w:rtl/>
          <w:lang w:val="x-none" w:eastAsia="he-IL"/>
        </w:rPr>
        <w:t>עו"ד ג'ריס:</w:t>
      </w:r>
      <w:r w:rsidRPr="00573E92">
        <w:rPr>
          <w:rFonts w:ascii="FrankRuehl" w:hAnsi="FrankRuehl" w:cs="Miriam"/>
          <w:sz w:val="20"/>
          <w:szCs w:val="20"/>
          <w:rtl/>
          <w:lang w:val="x-none" w:eastAsia="he-IL"/>
        </w:rPr>
        <w:tab/>
        <w:t>תגיד לי, אתם בבנק ערבי בשנת 2011 אתה ו</w:t>
      </w:r>
      <w:r w:rsidR="003E4826">
        <w:rPr>
          <w:rFonts w:ascii="FrankRuehl" w:hAnsi="FrankRuehl" w:cs="Miriam"/>
          <w:sz w:val="20"/>
          <w:szCs w:val="20"/>
          <w:rtl/>
          <w:lang w:val="x-none" w:eastAsia="he-IL"/>
        </w:rPr>
        <w:t>ס'</w:t>
      </w:r>
      <w:r w:rsidRPr="00573E92">
        <w:rPr>
          <w:rFonts w:ascii="FrankRuehl" w:hAnsi="FrankRuehl" w:cs="Miriam"/>
          <w:sz w:val="20"/>
          <w:szCs w:val="20"/>
          <w:rtl/>
          <w:lang w:val="x-none" w:eastAsia="he-IL"/>
        </w:rPr>
        <w:t xml:space="preserve"> משכתם, </w:t>
      </w:r>
      <w:r w:rsidR="003E4826">
        <w:rPr>
          <w:rFonts w:ascii="FrankRuehl" w:hAnsi="FrankRuehl" w:cs="Miriam"/>
          <w:sz w:val="20"/>
          <w:szCs w:val="20"/>
          <w:rtl/>
          <w:lang w:val="x-none" w:eastAsia="he-IL"/>
        </w:rPr>
        <w:t>ס'</w:t>
      </w:r>
      <w:r w:rsidRPr="00573E92">
        <w:rPr>
          <w:rFonts w:ascii="FrankRuehl" w:hAnsi="FrankRuehl" w:cs="Miriam"/>
          <w:sz w:val="20"/>
          <w:szCs w:val="20"/>
          <w:rtl/>
          <w:lang w:val="x-none" w:eastAsia="he-IL"/>
        </w:rPr>
        <w:t xml:space="preserve"> משך 900,0000 ואתה משכת איזה 730.</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r>
      <w:r w:rsidRPr="00573E92">
        <w:rPr>
          <w:rFonts w:ascii="FrankRuehl" w:hAnsi="FrankRuehl" w:cs="Miriam"/>
          <w:sz w:val="20"/>
          <w:szCs w:val="20"/>
          <w:rtl/>
          <w:lang w:val="x-none" w:eastAsia="he-IL"/>
        </w:rPr>
        <w:tab/>
        <w:t>נכון.</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תסביר לי את המתמטיקה של המספרים האלה כמו שבית המשפט שאל אותך קודם.</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r>
      <w:r w:rsidRPr="00573E92">
        <w:rPr>
          <w:rFonts w:ascii="FrankRuehl" w:hAnsi="FrankRuehl" w:cs="Miriam"/>
          <w:sz w:val="20"/>
          <w:szCs w:val="20"/>
          <w:rtl/>
          <w:lang w:val="x-none" w:eastAsia="he-IL"/>
        </w:rPr>
        <w:tab/>
        <w:t>עוד פעם. חילקנו את זה חצי חצי.</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אז עכשיו זה כבר לא פער של 1,000, 2,000.</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r>
      <w:r w:rsidRPr="00573E92">
        <w:rPr>
          <w:rFonts w:ascii="FrankRuehl" w:hAnsi="FrankRuehl" w:cs="Miriam"/>
          <w:sz w:val="20"/>
          <w:szCs w:val="20"/>
          <w:rtl/>
          <w:lang w:val="x-none" w:eastAsia="he-IL"/>
        </w:rPr>
        <w:tab/>
        <w:t>פער של כמה?</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r>
      <w:r w:rsidRPr="00573E92">
        <w:rPr>
          <w:rFonts w:ascii="FrankRuehl" w:hAnsi="FrankRuehl" w:cs="Miriam"/>
          <w:sz w:val="20"/>
          <w:szCs w:val="20"/>
          <w:rtl/>
          <w:lang w:val="x-none" w:eastAsia="he-IL"/>
        </w:rPr>
        <w:tab/>
        <w:t xml:space="preserve">900 </w:t>
      </w:r>
      <w:r w:rsidR="003E4826">
        <w:rPr>
          <w:rFonts w:ascii="FrankRuehl" w:hAnsi="FrankRuehl" w:cs="Miriam"/>
          <w:sz w:val="20"/>
          <w:szCs w:val="20"/>
          <w:rtl/>
          <w:lang w:val="x-none" w:eastAsia="he-IL"/>
        </w:rPr>
        <w:t>ס'</w:t>
      </w:r>
      <w:r w:rsidRPr="00573E92">
        <w:rPr>
          <w:rFonts w:ascii="FrankRuehl" w:hAnsi="FrankRuehl" w:cs="Miriam"/>
          <w:sz w:val="20"/>
          <w:szCs w:val="20"/>
          <w:rtl/>
          <w:lang w:val="x-none" w:eastAsia="he-IL"/>
        </w:rPr>
        <w:t xml:space="preserve"> לקח.</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נו?</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r>
      <w:r w:rsidRPr="00573E92">
        <w:rPr>
          <w:rFonts w:ascii="FrankRuehl" w:hAnsi="FrankRuehl" w:cs="Miriam"/>
          <w:sz w:val="20"/>
          <w:szCs w:val="20"/>
          <w:rtl/>
          <w:lang w:val="x-none" w:eastAsia="he-IL"/>
        </w:rPr>
        <w:tab/>
        <w:t>ואתה 730.</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r>
      <w:r w:rsidRPr="00573E92">
        <w:rPr>
          <w:rFonts w:ascii="FrankRuehl" w:hAnsi="FrankRuehl" w:cs="Miriam"/>
          <w:sz w:val="20"/>
          <w:szCs w:val="20"/>
          <w:rtl/>
          <w:lang w:val="x-none" w:eastAsia="he-IL"/>
        </w:rPr>
        <w:tab/>
        <w:t>אז מה אכפת לי? שייקח 700. אני,</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r>
      <w:r w:rsidRPr="00573E92">
        <w:rPr>
          <w:rFonts w:ascii="FrankRuehl" w:hAnsi="FrankRuehl" w:cs="Miriam"/>
          <w:sz w:val="20"/>
          <w:szCs w:val="20"/>
          <w:rtl/>
          <w:lang w:val="x-none" w:eastAsia="he-IL"/>
        </w:rPr>
        <w:tab/>
        <w:t>לא אכפת לך?</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לא.</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שייקח 170,000 שקל יותר?</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אני,</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אתה והוא חצי חצי?</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 xml:space="preserve">תבין דבר אחד. תבין דבר אחד. </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מה?</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אני עובד 40 שנה מורה נהיגה וגם מורה בתיכון. אני לא חסר לי כסף. תבין. אם הוא לקח יותר ממני, ייקח. מה זה משנה? אני לא מסתכל, לא מסתכל על זה.</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אתה לארג'.</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מה זה?</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לארג'. קוראים לזה לארג'. נדיב,</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אם, אם אתה אם אתה, כן, לארג'. לארג' לארג' לארג', כן, תגיד לארג'. אני לא אסתכל על אח של, "תן לי זה תן לי זה". לא מסתכל על זה.</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אז למה חצי חצי?</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מה זה?</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למה חצי חצי?</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לא הבנתי.</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אבל למה חצי חצי? חצי חצי זה 900 ועוד 700, זה 1,600,000. 800, 800.</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ככה חילקנו.</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טוב, יש ביניכם כל מיני התחשבנויות שאנחנו לא יודעים עליהן?</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לא, אין שום התחשבנויות. זה בראש שלך ההתחשבנויות האלה. אין שום התחשבנויות.</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לא יודע, אני, תשמע, תקרא לזה בראש שלי. אבל הראש שלי קצת יש בו היגיון. כשאתה אומר לי "חצי חצי",</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כן.</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אני יודע שזה צריך להיות בדיוק. (קטיעה בהקלטה)</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lastRenderedPageBreak/>
        <w:t>ת:</w:t>
      </w:r>
      <w:r w:rsidRPr="00573E92">
        <w:rPr>
          <w:rFonts w:ascii="FrankRuehl" w:hAnsi="FrankRuehl" w:cs="Miriam"/>
          <w:sz w:val="20"/>
          <w:szCs w:val="20"/>
          <w:rtl/>
          <w:lang w:val="x-none" w:eastAsia="he-IL"/>
        </w:rPr>
        <w:tab/>
        <w:t>אם הוא לקח ממני יותר כמה אלפי שקלים אז לא אכפת לי לא מזיז לי. כן. כן כן כן מה שאתה שומע.</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תגיד לי, אז אם ככה,</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כן.</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למה כשחתמתם לבנק, חתמתם על מסמך שאומר "תן ל</w:t>
      </w:r>
      <w:r w:rsidR="003E4826">
        <w:rPr>
          <w:rFonts w:ascii="FrankRuehl" w:hAnsi="FrankRuehl" w:cs="Miriam"/>
          <w:sz w:val="20"/>
          <w:szCs w:val="20"/>
          <w:rtl/>
          <w:lang w:val="x-none" w:eastAsia="he-IL"/>
        </w:rPr>
        <w:t>ס'</w:t>
      </w:r>
      <w:r w:rsidRPr="00573E92">
        <w:rPr>
          <w:rFonts w:ascii="FrankRuehl" w:hAnsi="FrankRuehl" w:cs="Miriam"/>
          <w:sz w:val="20"/>
          <w:szCs w:val="20"/>
          <w:rtl/>
          <w:lang w:val="x-none" w:eastAsia="he-IL"/>
        </w:rPr>
        <w:t xml:space="preserve"> 900 ותן לי 850".</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עוד פעם, איזה בנק?</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בנק ערבי.</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שמה עשינו שם?</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כתבת, אתה כתבת פה מסמך לבנק ערבי. זה כבר אתה.</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נו נו נו?</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 xml:space="preserve">לא </w:t>
      </w:r>
      <w:r w:rsidR="003E4826">
        <w:rPr>
          <w:rFonts w:ascii="FrankRuehl" w:hAnsi="FrankRuehl" w:cs="Miriam"/>
          <w:sz w:val="20"/>
          <w:szCs w:val="20"/>
          <w:rtl/>
          <w:lang w:val="x-none" w:eastAsia="he-IL"/>
        </w:rPr>
        <w:t>ס'</w:t>
      </w:r>
      <w:r w:rsidRPr="00573E92">
        <w:rPr>
          <w:rFonts w:ascii="FrankRuehl" w:hAnsi="FrankRuehl" w:cs="Miriam"/>
          <w:sz w:val="20"/>
          <w:szCs w:val="20"/>
          <w:rtl/>
          <w:lang w:val="x-none" w:eastAsia="he-IL"/>
        </w:rPr>
        <w:t>.</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כן, מה?</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אתה כותב "תנו ל</w:t>
      </w:r>
      <w:r w:rsidR="003E4826">
        <w:rPr>
          <w:rFonts w:ascii="FrankRuehl" w:hAnsi="FrankRuehl" w:cs="Miriam"/>
          <w:sz w:val="20"/>
          <w:szCs w:val="20"/>
          <w:rtl/>
          <w:lang w:val="x-none" w:eastAsia="he-IL"/>
        </w:rPr>
        <w:t>ס'</w:t>
      </w:r>
      <w:r w:rsidRPr="00573E92">
        <w:rPr>
          <w:rFonts w:ascii="FrankRuehl" w:hAnsi="FrankRuehl" w:cs="Miriam"/>
          <w:sz w:val="20"/>
          <w:szCs w:val="20"/>
          <w:rtl/>
          <w:lang w:val="x-none" w:eastAsia="he-IL"/>
        </w:rPr>
        <w:t xml:space="preserve"> 900",</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כן?</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"ותנו ל</w:t>
      </w:r>
      <w:r w:rsidR="003E4826">
        <w:rPr>
          <w:rFonts w:ascii="FrankRuehl" w:hAnsi="FrankRuehl" w:cs="Miriam"/>
          <w:sz w:val="20"/>
          <w:szCs w:val="20"/>
          <w:rtl/>
          <w:lang w:val="x-none" w:eastAsia="he-IL"/>
        </w:rPr>
        <w:t>א.ר.2</w:t>
      </w:r>
      <w:r w:rsidRPr="00573E92">
        <w:rPr>
          <w:rFonts w:ascii="FrankRuehl" w:hAnsi="FrankRuehl" w:cs="Miriam"/>
          <w:sz w:val="20"/>
          <w:szCs w:val="20"/>
          <w:rtl/>
          <w:lang w:val="x-none" w:eastAsia="he-IL"/>
        </w:rPr>
        <w:t xml:space="preserve"> 850".</w:t>
      </w:r>
    </w:p>
    <w:p w:rsidR="00765BA7" w:rsidRDefault="00765BA7" w:rsidP="00765BA7">
      <w:pPr>
        <w:spacing w:line="360" w:lineRule="auto"/>
        <w:jc w:val="both"/>
        <w:rPr>
          <w:rFonts w:ascii="FrankRuehl" w:hAnsi="FrankRuehl" w:cs="FrankRuehl"/>
          <w:sz w:val="28"/>
          <w:szCs w:val="28"/>
          <w:rtl/>
        </w:rPr>
      </w:pPr>
    </w:p>
    <w:p w:rsidR="002953B6" w:rsidRDefault="00765BA7" w:rsidP="002953B6">
      <w:pPr>
        <w:spacing w:line="360" w:lineRule="auto"/>
        <w:ind w:left="720"/>
        <w:jc w:val="both"/>
        <w:rPr>
          <w:rFonts w:ascii="FrankRuehl" w:hAnsi="FrankRuehl" w:cs="FrankRuehl"/>
          <w:sz w:val="28"/>
          <w:szCs w:val="28"/>
          <w:rtl/>
        </w:rPr>
      </w:pPr>
      <w:r>
        <w:rPr>
          <w:rFonts w:ascii="FrankRuehl" w:hAnsi="FrankRuehl" w:cs="FrankRuehl"/>
          <w:sz w:val="28"/>
          <w:szCs w:val="28"/>
          <w:rtl/>
        </w:rPr>
        <w:t>וגם כפי שצוטט לעיל בסעיף 32.2,</w:t>
      </w:r>
      <w:r w:rsidR="002B12E0">
        <w:rPr>
          <w:rFonts w:ascii="FrankRuehl" w:hAnsi="FrankRuehl" w:cs="FrankRuehl" w:hint="cs"/>
          <w:sz w:val="28"/>
          <w:szCs w:val="28"/>
          <w:rtl/>
        </w:rPr>
        <w:t xml:space="preserve"> וגם בפרוטוקול המתומלל</w:t>
      </w:r>
      <w:r>
        <w:rPr>
          <w:rFonts w:ascii="FrankRuehl" w:hAnsi="FrankRuehl" w:cs="FrankRuehl"/>
          <w:sz w:val="28"/>
          <w:szCs w:val="28"/>
          <w:rtl/>
        </w:rPr>
        <w:t xml:space="preserve"> עמוד 94 שורות 6 ואילך וגם עדות נתבע 2 בעמוד 112 שורות </w:t>
      </w:r>
      <w:r w:rsidR="002B12E0">
        <w:rPr>
          <w:rFonts w:ascii="FrankRuehl" w:hAnsi="FrankRuehl" w:cs="FrankRuehl" w:hint="cs"/>
          <w:sz w:val="28"/>
          <w:szCs w:val="28"/>
          <w:rtl/>
        </w:rPr>
        <w:t xml:space="preserve"> לפרוטוקול המתומלל</w:t>
      </w:r>
      <w:r w:rsidR="002B12E0">
        <w:rPr>
          <w:rFonts w:ascii="FrankRuehl" w:hAnsi="FrankRuehl" w:cs="FrankRuehl"/>
          <w:sz w:val="28"/>
          <w:szCs w:val="28"/>
          <w:rtl/>
        </w:rPr>
        <w:t xml:space="preserve"> </w:t>
      </w:r>
      <w:r>
        <w:rPr>
          <w:rFonts w:ascii="FrankRuehl" w:hAnsi="FrankRuehl" w:cs="FrankRuehl"/>
          <w:sz w:val="28"/>
          <w:szCs w:val="28"/>
          <w:rtl/>
        </w:rPr>
        <w:t>1-25 כפי צוטט לעיל בסעיף 32.2.</w:t>
      </w:r>
    </w:p>
    <w:p w:rsidR="00765BA7" w:rsidRDefault="00765BA7" w:rsidP="002953B6">
      <w:pPr>
        <w:spacing w:line="360" w:lineRule="auto"/>
        <w:ind w:left="720"/>
        <w:jc w:val="both"/>
        <w:rPr>
          <w:rFonts w:ascii="FrankRuehl" w:hAnsi="FrankRuehl" w:cs="FrankRuehl"/>
          <w:sz w:val="28"/>
          <w:szCs w:val="28"/>
          <w:rtl/>
        </w:rPr>
      </w:pPr>
      <w:r>
        <w:rPr>
          <w:rFonts w:ascii="FrankRuehl" w:hAnsi="FrankRuehl" w:cs="FrankRuehl"/>
          <w:sz w:val="28"/>
          <w:szCs w:val="28"/>
          <w:rtl/>
        </w:rPr>
        <w:t>עוד ראו עדות נתבע 1 בעמוד 85 שורות 2-34</w:t>
      </w:r>
      <w:r w:rsidR="000E7EFC">
        <w:rPr>
          <w:rFonts w:ascii="FrankRuehl" w:hAnsi="FrankRuehl" w:cs="FrankRuehl" w:hint="cs"/>
          <w:sz w:val="28"/>
          <w:szCs w:val="28"/>
          <w:rtl/>
        </w:rPr>
        <w:t xml:space="preserve"> לפרוטוקול המתומלל</w:t>
      </w:r>
      <w:r>
        <w:rPr>
          <w:rFonts w:ascii="FrankRuehl" w:hAnsi="FrankRuehl" w:cs="FrankRuehl"/>
          <w:sz w:val="28"/>
          <w:szCs w:val="28"/>
          <w:rtl/>
        </w:rPr>
        <w:t>:</w:t>
      </w:r>
    </w:p>
    <w:p w:rsidR="002953B6" w:rsidRDefault="002953B6" w:rsidP="002953B6">
      <w:pPr>
        <w:spacing w:line="360" w:lineRule="auto"/>
        <w:ind w:left="720"/>
        <w:jc w:val="both"/>
        <w:rPr>
          <w:rFonts w:ascii="FrankRuehl" w:hAnsi="FrankRuehl" w:cs="FrankRuehl"/>
          <w:sz w:val="28"/>
          <w:szCs w:val="28"/>
          <w:rtl/>
        </w:rPr>
      </w:pPr>
    </w:p>
    <w:p w:rsidR="00765BA7" w:rsidRPr="00573E92" w:rsidRDefault="00765BA7" w:rsidP="00765BA7">
      <w:pPr>
        <w:ind w:left="4320" w:right="1134" w:hanging="2880"/>
        <w:jc w:val="both"/>
        <w:rPr>
          <w:rFonts w:ascii="FrankRuehl" w:hAnsi="FrankRuehl" w:cs="Miriam"/>
          <w:noProof w:val="0"/>
          <w:sz w:val="20"/>
          <w:szCs w:val="20"/>
          <w:rtl/>
          <w:lang w:val="x-none" w:eastAsia="he-IL"/>
        </w:rPr>
      </w:pPr>
      <w:r w:rsidRPr="00573E92">
        <w:rPr>
          <w:rFonts w:ascii="FrankRuehl" w:hAnsi="FrankRuehl" w:cs="Miriam"/>
          <w:sz w:val="20"/>
          <w:szCs w:val="20"/>
          <w:rtl/>
          <w:lang w:val="x-none" w:eastAsia="he-IL"/>
        </w:rPr>
        <w:t xml:space="preserve">"ש: </w:t>
      </w:r>
      <w:r w:rsidRPr="00573E92">
        <w:rPr>
          <w:rFonts w:ascii="FrankRuehl" w:hAnsi="FrankRuehl" w:cs="Miriam"/>
          <w:sz w:val="20"/>
          <w:szCs w:val="20"/>
          <w:rtl/>
          <w:lang w:val="x-none" w:eastAsia="he-IL"/>
        </w:rPr>
        <w:tab/>
        <w:t>אתה לא נתת דיווח. אני שואל,</w:t>
      </w:r>
    </w:p>
    <w:p w:rsidR="00765BA7" w:rsidRPr="00573E92" w:rsidRDefault="00765BA7" w:rsidP="00765BA7">
      <w:pPr>
        <w:ind w:left="4320" w:right="1134" w:hanging="2880"/>
        <w:jc w:val="both"/>
        <w:rPr>
          <w:rFonts w:ascii="FrankRuehl" w:hAnsi="FrankRuehl" w:cs="Miriam"/>
          <w:sz w:val="20"/>
          <w:szCs w:val="20"/>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למי לתת דיווח? לא הבנתי.</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לאחים שלך?</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למי לתת דיווח?</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לאחים שלך. ליורשים.</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אמא חילקה את הכסף שווה בשווה. ו</w:t>
      </w:r>
      <w:r w:rsidR="003E4826">
        <w:rPr>
          <w:rFonts w:ascii="FrankRuehl" w:hAnsi="FrankRuehl" w:cs="Miriam"/>
          <w:sz w:val="20"/>
          <w:szCs w:val="20"/>
          <w:rtl/>
          <w:lang w:val="x-none" w:eastAsia="he-IL"/>
        </w:rPr>
        <w:t>א.ר.</w:t>
      </w:r>
      <w:r w:rsidRPr="00573E92">
        <w:rPr>
          <w:rFonts w:ascii="FrankRuehl" w:hAnsi="FrankRuehl" w:cs="Miriam"/>
          <w:sz w:val="20"/>
          <w:szCs w:val="20"/>
          <w:rtl/>
          <w:lang w:val="x-none" w:eastAsia="he-IL"/>
        </w:rPr>
        <w:t xml:space="preserve"> ידע מזה. </w:t>
      </w:r>
      <w:r w:rsidR="003E4826">
        <w:rPr>
          <w:rFonts w:ascii="FrankRuehl" w:hAnsi="FrankRuehl" w:cs="Miriam"/>
          <w:sz w:val="20"/>
          <w:szCs w:val="20"/>
          <w:rtl/>
          <w:lang w:val="x-none" w:eastAsia="he-IL"/>
        </w:rPr>
        <w:t>א.ר.</w:t>
      </w:r>
      <w:r w:rsidRPr="00573E92">
        <w:rPr>
          <w:rFonts w:ascii="FrankRuehl" w:hAnsi="FrankRuehl" w:cs="Miriam"/>
          <w:sz w:val="20"/>
          <w:szCs w:val="20"/>
          <w:rtl/>
          <w:lang w:val="x-none" w:eastAsia="he-IL"/>
        </w:rPr>
        <w:t xml:space="preserve"> ידע מזה.</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מה הוא ידע?</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מה זה?</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מה הוא ידע?</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 xml:space="preserve">הנה, </w:t>
      </w:r>
      <w:r w:rsidR="003E4826">
        <w:rPr>
          <w:rFonts w:ascii="FrankRuehl" w:hAnsi="FrankRuehl" w:cs="Miriam"/>
          <w:sz w:val="20"/>
          <w:szCs w:val="20"/>
          <w:rtl/>
          <w:lang w:val="x-none" w:eastAsia="he-IL"/>
        </w:rPr>
        <w:t>ס'</w:t>
      </w:r>
      <w:r w:rsidRPr="00573E92">
        <w:rPr>
          <w:rFonts w:ascii="FrankRuehl" w:hAnsi="FrankRuehl" w:cs="Miriam"/>
          <w:sz w:val="20"/>
          <w:szCs w:val="20"/>
          <w:rtl/>
          <w:lang w:val="x-none" w:eastAsia="he-IL"/>
        </w:rPr>
        <w:t xml:space="preserve"> סיפר לו.</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שמה?</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אנחנו קיבלנו חצי,</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מה חצי?</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 xml:space="preserve">חצי בנק לאומי, חצי בשבילי חצי בשביל </w:t>
      </w:r>
      <w:r w:rsidR="003E4826">
        <w:rPr>
          <w:rFonts w:ascii="FrankRuehl" w:hAnsi="FrankRuehl" w:cs="Miriam"/>
          <w:sz w:val="20"/>
          <w:szCs w:val="20"/>
          <w:rtl/>
          <w:lang w:val="x-none" w:eastAsia="he-IL"/>
        </w:rPr>
        <w:t>ס'</w:t>
      </w:r>
      <w:r w:rsidRPr="00573E92">
        <w:rPr>
          <w:rFonts w:ascii="FrankRuehl" w:hAnsi="FrankRuehl" w:cs="Miriam"/>
          <w:sz w:val="20"/>
          <w:szCs w:val="20"/>
          <w:rtl/>
          <w:lang w:val="x-none" w:eastAsia="he-IL"/>
        </w:rPr>
        <w:t xml:space="preserve">. בנק ערבי, חצי שלי חצי של </w:t>
      </w:r>
      <w:r w:rsidR="003E4826">
        <w:rPr>
          <w:rFonts w:ascii="FrankRuehl" w:hAnsi="FrankRuehl" w:cs="Miriam"/>
          <w:sz w:val="20"/>
          <w:szCs w:val="20"/>
          <w:rtl/>
          <w:lang w:val="x-none" w:eastAsia="he-IL"/>
        </w:rPr>
        <w:t>ס'</w:t>
      </w:r>
      <w:r w:rsidRPr="00573E92">
        <w:rPr>
          <w:rFonts w:ascii="FrankRuehl" w:hAnsi="FrankRuehl" w:cs="Miriam"/>
          <w:sz w:val="20"/>
          <w:szCs w:val="20"/>
          <w:rtl/>
          <w:lang w:val="x-none" w:eastAsia="he-IL"/>
        </w:rPr>
        <w:t>. כן, חילקנו באמצע.</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אתה ו</w:t>
      </w:r>
      <w:r w:rsidR="003E4826">
        <w:rPr>
          <w:rFonts w:ascii="FrankRuehl" w:hAnsi="FrankRuehl" w:cs="Miriam"/>
          <w:sz w:val="20"/>
          <w:szCs w:val="20"/>
          <w:rtl/>
          <w:lang w:val="x-none" w:eastAsia="he-IL"/>
        </w:rPr>
        <w:t>ס'</w:t>
      </w:r>
      <w:r w:rsidRPr="00573E92">
        <w:rPr>
          <w:rFonts w:ascii="FrankRuehl" w:hAnsi="FrankRuehl" w:cs="Miriam"/>
          <w:sz w:val="20"/>
          <w:szCs w:val="20"/>
          <w:rtl/>
          <w:lang w:val="x-none" w:eastAsia="he-IL"/>
        </w:rPr>
        <w:t xml:space="preserve"> לבד פתחתם את כל החשבונות?</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נכון נכון. והסכומים מופיעים שם בדיוק.</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איזה יופי.</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אני אין לי מה להסתיר. אני אגיד לך בדיוק מה שיש שם.</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תשמע, תשמע,</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למי לתת דיווח,</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אז רגע, כשעורך הדין שלך, איפה, איך חילקתם את הכסף? אתם הייתם ביחד בבנק? אתה ו</w:t>
      </w:r>
      <w:r w:rsidR="003E4826">
        <w:rPr>
          <w:rFonts w:ascii="FrankRuehl" w:hAnsi="FrankRuehl" w:cs="Miriam"/>
          <w:sz w:val="20"/>
          <w:szCs w:val="20"/>
          <w:rtl/>
          <w:lang w:val="x-none" w:eastAsia="he-IL"/>
        </w:rPr>
        <w:t>ס'</w:t>
      </w:r>
      <w:r w:rsidRPr="00573E92">
        <w:rPr>
          <w:rFonts w:ascii="FrankRuehl" w:hAnsi="FrankRuehl" w:cs="Miriam"/>
          <w:sz w:val="20"/>
          <w:szCs w:val="20"/>
          <w:rtl/>
          <w:lang w:val="x-none" w:eastAsia="he-IL"/>
        </w:rPr>
        <w:t>?</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אמא הייתה.</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אתה ו</w:t>
      </w:r>
      <w:r w:rsidR="003E4826">
        <w:rPr>
          <w:rFonts w:ascii="FrankRuehl" w:hAnsi="FrankRuehl" w:cs="Miriam"/>
          <w:sz w:val="20"/>
          <w:szCs w:val="20"/>
          <w:rtl/>
          <w:lang w:val="x-none" w:eastAsia="he-IL"/>
        </w:rPr>
        <w:t>ס'</w:t>
      </w:r>
      <w:r w:rsidRPr="00573E92">
        <w:rPr>
          <w:rFonts w:ascii="FrankRuehl" w:hAnsi="FrankRuehl" w:cs="Miriam"/>
          <w:sz w:val="20"/>
          <w:szCs w:val="20"/>
          <w:rtl/>
          <w:lang w:val="x-none" w:eastAsia="he-IL"/>
        </w:rPr>
        <w:t>.</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מה זה?</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אתה ו</w:t>
      </w:r>
      <w:r w:rsidR="003E4826">
        <w:rPr>
          <w:rFonts w:ascii="FrankRuehl" w:hAnsi="FrankRuehl" w:cs="Miriam"/>
          <w:sz w:val="20"/>
          <w:szCs w:val="20"/>
          <w:rtl/>
          <w:lang w:val="x-none" w:eastAsia="he-IL"/>
        </w:rPr>
        <w:t>ס'</w:t>
      </w:r>
      <w:r w:rsidRPr="00573E92">
        <w:rPr>
          <w:rFonts w:ascii="FrankRuehl" w:hAnsi="FrankRuehl" w:cs="Miriam"/>
          <w:sz w:val="20"/>
          <w:szCs w:val="20"/>
          <w:rtl/>
          <w:lang w:val="x-none" w:eastAsia="he-IL"/>
        </w:rPr>
        <w:t xml:space="preserve"> הייתם בבנק ביחד?</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lastRenderedPageBreak/>
        <w:t>ת:</w:t>
      </w:r>
      <w:r w:rsidRPr="00573E92">
        <w:rPr>
          <w:rFonts w:ascii="FrankRuehl" w:hAnsi="FrankRuehl" w:cs="Miriam"/>
          <w:sz w:val="20"/>
          <w:szCs w:val="20"/>
          <w:rtl/>
          <w:lang w:val="x-none" w:eastAsia="he-IL"/>
        </w:rPr>
        <w:tab/>
        <w:t>בטח שהיְינו בבנק, אז מה.</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 xml:space="preserve">אתה הִלכת עם </w:t>
      </w:r>
      <w:r w:rsidR="003E4826">
        <w:rPr>
          <w:rFonts w:ascii="FrankRuehl" w:hAnsi="FrankRuehl" w:cs="Miriam"/>
          <w:sz w:val="20"/>
          <w:szCs w:val="20"/>
          <w:rtl/>
          <w:lang w:val="x-none" w:eastAsia="he-IL"/>
        </w:rPr>
        <w:t>ס'</w:t>
      </w:r>
      <w:r w:rsidRPr="00573E92">
        <w:rPr>
          <w:rFonts w:ascii="FrankRuehl" w:hAnsi="FrankRuehl" w:cs="Miriam"/>
          <w:sz w:val="20"/>
          <w:szCs w:val="20"/>
          <w:rtl/>
          <w:lang w:val="x-none" w:eastAsia="he-IL"/>
        </w:rPr>
        <w:t xml:space="preserve"> לבנק,</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נכון.</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וחילקתם את הכסף?</w:t>
      </w:r>
    </w:p>
    <w:p w:rsidR="00765BA7" w:rsidRPr="00573E92" w:rsidRDefault="00765BA7" w:rsidP="00765BA7">
      <w:pPr>
        <w:ind w:left="4320" w:right="1134" w:hanging="288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נכון. אז מה? עם מי הִלכתי?"</w:t>
      </w:r>
    </w:p>
    <w:p w:rsidR="00765BA7" w:rsidRDefault="00765BA7" w:rsidP="00765BA7">
      <w:pPr>
        <w:spacing w:line="360" w:lineRule="auto"/>
        <w:jc w:val="both"/>
        <w:rPr>
          <w:rFonts w:ascii="FrankRuehl" w:hAnsi="FrankRuehl" w:cs="FrankRuehl"/>
          <w:sz w:val="28"/>
          <w:szCs w:val="28"/>
          <w:rtl/>
        </w:rPr>
      </w:pPr>
    </w:p>
    <w:p w:rsidR="002953B6" w:rsidRDefault="00765BA7" w:rsidP="009E7E07">
      <w:pPr>
        <w:spacing w:line="360" w:lineRule="auto"/>
        <w:ind w:left="720"/>
        <w:jc w:val="both"/>
        <w:rPr>
          <w:rFonts w:ascii="FrankRuehl" w:hAnsi="FrankRuehl" w:cs="FrankRuehl"/>
          <w:sz w:val="28"/>
          <w:szCs w:val="28"/>
          <w:rtl/>
        </w:rPr>
      </w:pPr>
      <w:r>
        <w:rPr>
          <w:rFonts w:ascii="FrankRuehl" w:hAnsi="FrankRuehl" w:cs="FrankRuehl"/>
          <w:sz w:val="28"/>
          <w:szCs w:val="28"/>
          <w:rtl/>
        </w:rPr>
        <w:t>לאמור יש להוסיף כי הנתבעים לא הביאו לעדות את פקידי הבנק שטיפלו בהעברות הכספים ואשר יכולים היו, אולי, לתמוך בגרסתם, כך שהדבר פועל לחובתם.</w:t>
      </w:r>
      <w:r w:rsidR="009E7E07">
        <w:rPr>
          <w:rFonts w:ascii="FrankRuehl" w:hAnsi="FrankRuehl" w:cs="FrankRuehl" w:hint="cs"/>
          <w:sz w:val="28"/>
          <w:szCs w:val="28"/>
          <w:rtl/>
        </w:rPr>
        <w:t xml:space="preserve"> </w:t>
      </w:r>
    </w:p>
    <w:p w:rsidR="00765BA7" w:rsidRDefault="00765BA7" w:rsidP="009E7E07">
      <w:pPr>
        <w:spacing w:line="360" w:lineRule="auto"/>
        <w:ind w:left="720"/>
        <w:jc w:val="both"/>
        <w:rPr>
          <w:rFonts w:ascii="FrankRuehl" w:hAnsi="FrankRuehl" w:cs="FrankRuehl"/>
          <w:sz w:val="28"/>
          <w:szCs w:val="28"/>
          <w:rtl/>
        </w:rPr>
      </w:pPr>
      <w:r w:rsidRPr="009E7E07">
        <w:rPr>
          <w:rFonts w:ascii="FrankRuehl" w:hAnsi="FrankRuehl" w:cs="FrankRuehl"/>
          <w:sz w:val="28"/>
          <w:szCs w:val="28"/>
          <w:rtl/>
        </w:rPr>
        <w:t xml:space="preserve">כאשר בעל דין נמנע מהלציג ראיה או להביא עד, יש להניח כי המדובר  בראיה או עדות הפועלת לרעתו ותשמש כנגדו. ראו ע"א 465/88 </w:t>
      </w:r>
      <w:r w:rsidRPr="009E7E07">
        <w:rPr>
          <w:rFonts w:ascii="FrankRuehl" w:hAnsi="FrankRuehl" w:cs="FrankRuehl"/>
          <w:b/>
          <w:bCs/>
          <w:sz w:val="28"/>
          <w:szCs w:val="28"/>
          <w:rtl/>
        </w:rPr>
        <w:t>הבנק למימון מסחר בע"מ נ' סלימה מתתיהו ואח'</w:t>
      </w:r>
      <w:r w:rsidRPr="009E7E07">
        <w:rPr>
          <w:rFonts w:ascii="FrankRuehl" w:hAnsi="FrankRuehl" w:cs="FrankRuehl"/>
          <w:sz w:val="28"/>
          <w:szCs w:val="28"/>
          <w:rtl/>
        </w:rPr>
        <w:t xml:space="preserve">, פד"י מ"ה (4) 651, ע"א 795/99 </w:t>
      </w:r>
      <w:r w:rsidRPr="009E7E07">
        <w:rPr>
          <w:rFonts w:ascii="FrankRuehl" w:hAnsi="FrankRuehl" w:cs="FrankRuehl"/>
          <w:b/>
          <w:bCs/>
          <w:sz w:val="28"/>
          <w:szCs w:val="28"/>
          <w:rtl/>
        </w:rPr>
        <w:t>פרנסואה נ' פוזיל</w:t>
      </w:r>
      <w:r w:rsidRPr="009E7E07">
        <w:rPr>
          <w:rFonts w:ascii="FrankRuehl" w:hAnsi="FrankRuehl" w:cs="FrankRuehl"/>
          <w:sz w:val="28"/>
          <w:szCs w:val="28"/>
          <w:rtl/>
        </w:rPr>
        <w:t xml:space="preserve"> פד"י נ"ד (3) 107.</w:t>
      </w:r>
      <w:r>
        <w:rPr>
          <w:rFonts w:ascii="FrankRuehl" w:hAnsi="FrankRuehl" w:cs="FrankRuehl"/>
          <w:sz w:val="28"/>
          <w:szCs w:val="28"/>
          <w:rtl/>
        </w:rPr>
        <w:t xml:space="preserve"> </w:t>
      </w:r>
    </w:p>
    <w:p w:rsidR="00765BA7" w:rsidRDefault="00765BA7" w:rsidP="00765BA7">
      <w:pPr>
        <w:spacing w:line="360" w:lineRule="auto"/>
        <w:jc w:val="both"/>
        <w:rPr>
          <w:rFonts w:ascii="FrankRuehl" w:hAnsi="FrankRuehl" w:cs="FrankRuehl"/>
          <w:sz w:val="28"/>
          <w:szCs w:val="28"/>
          <w:rtl/>
        </w:rPr>
      </w:pPr>
      <w:r>
        <w:rPr>
          <w:rFonts w:ascii="FrankRuehl" w:hAnsi="FrankRuehl" w:cs="FrankRuehl"/>
          <w:sz w:val="28"/>
          <w:szCs w:val="28"/>
          <w:rtl/>
        </w:rPr>
        <w:t xml:space="preserve">                                                                                                 </w:t>
      </w:r>
    </w:p>
    <w:p w:rsidR="00765BA7" w:rsidRDefault="00765BA7" w:rsidP="002953B6">
      <w:pPr>
        <w:spacing w:line="360" w:lineRule="auto"/>
        <w:jc w:val="both"/>
        <w:rPr>
          <w:rFonts w:ascii="FrankRuehl" w:hAnsi="FrankRuehl" w:cs="FrankRuehl"/>
          <w:b/>
          <w:bCs/>
          <w:sz w:val="28"/>
          <w:szCs w:val="28"/>
          <w:rtl/>
        </w:rPr>
      </w:pPr>
      <w:r>
        <w:rPr>
          <w:rFonts w:ascii="FrankRuehl" w:hAnsi="FrankRuehl" w:cs="FrankRuehl"/>
          <w:b/>
          <w:bCs/>
          <w:sz w:val="28"/>
          <w:szCs w:val="28"/>
          <w:rtl/>
        </w:rPr>
        <w:tab/>
        <w:t xml:space="preserve">32.8. </w:t>
      </w:r>
      <w:r>
        <w:rPr>
          <w:rFonts w:ascii="FrankRuehl" w:hAnsi="FrankRuehl" w:cs="FrankRuehl"/>
          <w:b/>
          <w:bCs/>
          <w:sz w:val="28"/>
          <w:szCs w:val="28"/>
          <w:rtl/>
        </w:rPr>
        <w:tab/>
      </w:r>
      <w:r w:rsidR="002953B6">
        <w:rPr>
          <w:rFonts w:ascii="FrankRuehl" w:hAnsi="FrankRuehl" w:cs="FrankRuehl" w:hint="cs"/>
          <w:b/>
          <w:bCs/>
          <w:sz w:val="28"/>
          <w:szCs w:val="28"/>
          <w:rtl/>
        </w:rPr>
        <w:t xml:space="preserve">משיכות נוספות הן </w:t>
      </w:r>
      <w:r>
        <w:rPr>
          <w:rFonts w:ascii="FrankRuehl" w:hAnsi="FrankRuehl" w:cs="FrankRuehl"/>
          <w:b/>
          <w:bCs/>
          <w:sz w:val="28"/>
          <w:szCs w:val="28"/>
          <w:rtl/>
        </w:rPr>
        <w:t>משיכות מזומן</w:t>
      </w:r>
      <w:r w:rsidR="002953B6">
        <w:rPr>
          <w:rFonts w:ascii="FrankRuehl" w:hAnsi="FrankRuehl" w:cs="FrankRuehl" w:hint="cs"/>
          <w:b/>
          <w:bCs/>
          <w:sz w:val="28"/>
          <w:szCs w:val="28"/>
          <w:rtl/>
        </w:rPr>
        <w:t xml:space="preserve"> - </w:t>
      </w:r>
      <w:r>
        <w:rPr>
          <w:rFonts w:ascii="FrankRuehl" w:hAnsi="FrankRuehl" w:cs="FrankRuehl"/>
          <w:b/>
          <w:bCs/>
          <w:sz w:val="28"/>
          <w:szCs w:val="28"/>
          <w:rtl/>
        </w:rPr>
        <w:t>סך כולל 7</w:t>
      </w:r>
      <w:r w:rsidR="009E7E07">
        <w:rPr>
          <w:rFonts w:ascii="FrankRuehl" w:hAnsi="FrankRuehl" w:cs="FrankRuehl" w:hint="cs"/>
          <w:b/>
          <w:bCs/>
          <w:sz w:val="28"/>
          <w:szCs w:val="28"/>
          <w:rtl/>
        </w:rPr>
        <w:t>1</w:t>
      </w:r>
      <w:r>
        <w:rPr>
          <w:rFonts w:ascii="FrankRuehl" w:hAnsi="FrankRuehl" w:cs="FrankRuehl"/>
          <w:b/>
          <w:bCs/>
          <w:sz w:val="28"/>
          <w:szCs w:val="28"/>
          <w:rtl/>
        </w:rPr>
        <w:t xml:space="preserve">0,610 ₪; </w:t>
      </w:r>
    </w:p>
    <w:p w:rsidR="00617B73" w:rsidRDefault="00617B73" w:rsidP="002953B6">
      <w:pPr>
        <w:spacing w:line="360" w:lineRule="auto"/>
        <w:jc w:val="both"/>
        <w:rPr>
          <w:rFonts w:ascii="FrankRuehl" w:hAnsi="FrankRuehl" w:cs="FrankRuehl"/>
          <w:b/>
          <w:bCs/>
          <w:sz w:val="28"/>
          <w:szCs w:val="28"/>
          <w:rtl/>
        </w:rPr>
      </w:pPr>
    </w:p>
    <w:p w:rsidR="00617B73" w:rsidRDefault="00765BA7" w:rsidP="00617B73">
      <w:pPr>
        <w:spacing w:line="360" w:lineRule="auto"/>
        <w:ind w:left="720"/>
        <w:jc w:val="both"/>
        <w:rPr>
          <w:rFonts w:ascii="FrankRuehl" w:hAnsi="FrankRuehl" w:cs="FrankRuehl"/>
          <w:sz w:val="28"/>
          <w:szCs w:val="28"/>
          <w:rtl/>
        </w:rPr>
      </w:pPr>
      <w:r>
        <w:rPr>
          <w:rFonts w:ascii="FrankRuehl" w:hAnsi="FrankRuehl" w:cs="FrankRuehl"/>
          <w:sz w:val="28"/>
          <w:szCs w:val="28"/>
          <w:rtl/>
        </w:rPr>
        <w:t>לאור המפורט לעיל מצאתי גם להביא בחשבון משיכות מזומן מעל סך 5,000 ₪. בהקשר זה אציין כי הנתבעים לא נתנו הסבר למשיכות מזומן או למטרה לשמה נמשכו הכספים</w:t>
      </w:r>
      <w:r>
        <w:rPr>
          <w:rFonts w:ascii="FrankRuehl" w:hAnsi="FrankRuehl" w:cs="FrankRuehl"/>
          <w:b/>
          <w:bCs/>
          <w:sz w:val="28"/>
          <w:szCs w:val="28"/>
          <w:rtl/>
        </w:rPr>
        <w:t xml:space="preserve"> ואין מדובר במשיכות קִצבאות המנוחה</w:t>
      </w:r>
      <w:r>
        <w:rPr>
          <w:rFonts w:ascii="FrankRuehl" w:hAnsi="FrankRuehl" w:cs="FrankRuehl"/>
          <w:sz w:val="28"/>
          <w:szCs w:val="28"/>
          <w:rtl/>
        </w:rPr>
        <w:t>.</w:t>
      </w:r>
    </w:p>
    <w:p w:rsidR="00617B73" w:rsidRDefault="00617B73" w:rsidP="00617B73">
      <w:pPr>
        <w:spacing w:line="360" w:lineRule="auto"/>
        <w:ind w:left="720"/>
        <w:jc w:val="both"/>
        <w:rPr>
          <w:rFonts w:ascii="FrankRuehl" w:hAnsi="FrankRuehl" w:cs="FrankRuehl"/>
          <w:sz w:val="28"/>
          <w:szCs w:val="28"/>
          <w:rtl/>
        </w:rPr>
      </w:pPr>
    </w:p>
    <w:p w:rsidR="00573E92" w:rsidRDefault="00765BA7" w:rsidP="00617B73">
      <w:pPr>
        <w:spacing w:line="360" w:lineRule="auto"/>
        <w:ind w:left="720"/>
        <w:jc w:val="both"/>
        <w:rPr>
          <w:rFonts w:ascii="FrankRuehl" w:hAnsi="FrankRuehl" w:cs="FrankRuehl"/>
          <w:sz w:val="28"/>
          <w:szCs w:val="28"/>
          <w:rtl/>
        </w:rPr>
      </w:pPr>
      <w:r>
        <w:rPr>
          <w:rFonts w:ascii="FrankRuehl" w:hAnsi="FrankRuehl" w:cs="FrankRuehl"/>
          <w:sz w:val="28"/>
          <w:szCs w:val="28"/>
          <w:rtl/>
        </w:rPr>
        <w:t xml:space="preserve">יש לדחות  טענת הנתבעים כי העברות הכספים אליהם (הן שפורטו לעיל והן שלהלן) נעשו על ידי המנוחה על-מנת להשוות את הסכומים שקיבל התובע מהאב המנוח לסכומים שהתקבלו ויתקבלו בידם. </w:t>
      </w:r>
    </w:p>
    <w:p w:rsidR="00573E92" w:rsidRDefault="00573E92" w:rsidP="00617B73">
      <w:pPr>
        <w:spacing w:line="360" w:lineRule="auto"/>
        <w:ind w:left="720"/>
        <w:jc w:val="both"/>
        <w:rPr>
          <w:rFonts w:ascii="FrankRuehl" w:hAnsi="FrankRuehl" w:cs="FrankRuehl"/>
          <w:sz w:val="28"/>
          <w:szCs w:val="28"/>
          <w:rtl/>
        </w:rPr>
      </w:pPr>
    </w:p>
    <w:p w:rsidR="00573E92" w:rsidRDefault="00765BA7" w:rsidP="00617B73">
      <w:pPr>
        <w:spacing w:line="360" w:lineRule="auto"/>
        <w:ind w:left="720"/>
        <w:jc w:val="both"/>
        <w:rPr>
          <w:rFonts w:ascii="FrankRuehl" w:hAnsi="FrankRuehl" w:cs="FrankRuehl"/>
          <w:b/>
          <w:bCs/>
          <w:sz w:val="28"/>
          <w:szCs w:val="28"/>
          <w:rtl/>
        </w:rPr>
      </w:pPr>
      <w:r>
        <w:rPr>
          <w:rFonts w:ascii="FrankRuehl" w:hAnsi="FrankRuehl" w:cs="FrankRuehl"/>
          <w:sz w:val="28"/>
          <w:szCs w:val="28"/>
          <w:rtl/>
        </w:rPr>
        <w:t xml:space="preserve">טענה זו לא נטענה בכתב ההגנה המקורי שהוגש (עת שני הנתבעים היו מיוצגים יחד) וגם לא נתמכה בכל ראייה נוספת. על כן מדובר בעדות יחידה ללא תמיכה או סיוע ואיני מקבלת אותה. ראו בהקשר זה סעיף 54 לפקודת הראיות [נוסח חדש] התשל"א-1971. </w:t>
      </w:r>
    </w:p>
    <w:p w:rsidR="00573E92" w:rsidRDefault="00573E92" w:rsidP="00617B73">
      <w:pPr>
        <w:spacing w:line="360" w:lineRule="auto"/>
        <w:ind w:left="720"/>
        <w:jc w:val="both"/>
        <w:rPr>
          <w:rFonts w:ascii="FrankRuehl" w:hAnsi="FrankRuehl" w:cs="FrankRuehl"/>
          <w:b/>
          <w:bCs/>
          <w:sz w:val="28"/>
          <w:szCs w:val="28"/>
          <w:rtl/>
        </w:rPr>
      </w:pPr>
    </w:p>
    <w:p w:rsidR="00573E92" w:rsidRDefault="00573E92" w:rsidP="00617B73">
      <w:pPr>
        <w:spacing w:line="360" w:lineRule="auto"/>
        <w:ind w:left="720"/>
        <w:jc w:val="both"/>
        <w:rPr>
          <w:rFonts w:ascii="FrankRuehl" w:hAnsi="FrankRuehl" w:cs="FrankRuehl"/>
          <w:b/>
          <w:bCs/>
          <w:sz w:val="28"/>
          <w:szCs w:val="28"/>
          <w:rtl/>
        </w:rPr>
      </w:pPr>
    </w:p>
    <w:p w:rsidR="00765BA7" w:rsidRDefault="00765BA7" w:rsidP="00617B73">
      <w:pPr>
        <w:spacing w:line="360" w:lineRule="auto"/>
        <w:ind w:left="720"/>
        <w:jc w:val="both"/>
        <w:rPr>
          <w:rFonts w:ascii="FrankRuehl" w:hAnsi="FrankRuehl" w:cs="FrankRuehl"/>
          <w:b/>
          <w:bCs/>
          <w:sz w:val="28"/>
          <w:szCs w:val="28"/>
          <w:rtl/>
        </w:rPr>
      </w:pPr>
      <w:r>
        <w:rPr>
          <w:rFonts w:ascii="FrankRuehl" w:hAnsi="FrankRuehl" w:cs="FrankRuehl"/>
          <w:b/>
          <w:bCs/>
          <w:sz w:val="28"/>
          <w:szCs w:val="28"/>
          <w:rtl/>
        </w:rPr>
        <w:t>הפן השני של טענה זו היא הודאת הנתבעים כי קיבלו את הסכומים כמפורט בחוות הדעת</w:t>
      </w:r>
      <w:r>
        <w:rPr>
          <w:rFonts w:ascii="FrankRuehl" w:hAnsi="FrankRuehl" w:cs="FrankRuehl"/>
          <w:sz w:val="28"/>
          <w:szCs w:val="28"/>
          <w:rtl/>
        </w:rPr>
        <w:t>.</w:t>
      </w:r>
      <w:r>
        <w:rPr>
          <w:rFonts w:ascii="FrankRuehl" w:hAnsi="FrankRuehl" w:cs="FrankRuehl"/>
          <w:b/>
          <w:bCs/>
          <w:sz w:val="28"/>
          <w:szCs w:val="28"/>
          <w:rtl/>
        </w:rPr>
        <w:t xml:space="preserve"> כלעיל וכדלקמן:</w:t>
      </w:r>
    </w:p>
    <w:p w:rsidR="00765BA7" w:rsidRDefault="00765BA7" w:rsidP="00765BA7">
      <w:pPr>
        <w:spacing w:line="360" w:lineRule="auto"/>
        <w:ind w:left="720"/>
        <w:jc w:val="both"/>
        <w:rPr>
          <w:rFonts w:ascii="FrankRuehl" w:hAnsi="FrankRuehl" w:cs="FrankRuehl"/>
          <w:b/>
          <w:bCs/>
          <w:sz w:val="28"/>
          <w:szCs w:val="28"/>
          <w:rtl/>
        </w:rPr>
      </w:pPr>
    </w:p>
    <w:p w:rsidR="00765BA7" w:rsidRDefault="00765BA7" w:rsidP="00606666">
      <w:pPr>
        <w:spacing w:line="360" w:lineRule="auto"/>
        <w:ind w:left="1440" w:hanging="720"/>
        <w:jc w:val="both"/>
        <w:rPr>
          <w:rFonts w:ascii="FrankRuehl" w:hAnsi="FrankRuehl" w:cs="FrankRuehl"/>
          <w:sz w:val="28"/>
          <w:szCs w:val="28"/>
          <w:rtl/>
        </w:rPr>
      </w:pPr>
      <w:r>
        <w:rPr>
          <w:rFonts w:ascii="FrankRuehl" w:hAnsi="FrankRuehl" w:cs="FrankRuehl"/>
          <w:b/>
          <w:bCs/>
          <w:sz w:val="28"/>
          <w:szCs w:val="28"/>
          <w:rtl/>
        </w:rPr>
        <w:t xml:space="preserve">מח-ן </w:t>
      </w:r>
      <w:r w:rsidR="00606666">
        <w:rPr>
          <w:rFonts w:ascii="FrankRuehl" w:hAnsi="FrankRuehl" w:cs="FrankRuehl" w:hint="cs"/>
          <w:b/>
          <w:bCs/>
          <w:sz w:val="28"/>
          <w:szCs w:val="28"/>
          <w:rtl/>
        </w:rPr>
        <w:t xml:space="preserve">---- </w:t>
      </w:r>
      <w:r>
        <w:rPr>
          <w:rFonts w:ascii="FrankRuehl" w:hAnsi="FrankRuehl" w:cs="FrankRuehl"/>
          <w:b/>
          <w:bCs/>
          <w:sz w:val="28"/>
          <w:szCs w:val="28"/>
          <w:rtl/>
        </w:rPr>
        <w:t>בבנק "ערבי-ישראלי" סך 170,600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lastRenderedPageBreak/>
        <w:t>(א) משיכה ביום 29.03.2004 סך 15,000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(ב) משיכה ביום 07.04.2006 סך 6,800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(ג) משיכה ביום 05.07.2006 סך 6,000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(ד) משיכה ביום 24.12.2008 סך 10,000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(ה) משיכה ביום 27.01.2010 סך 10,000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(ו) משיכה ביום 28.7.2010 סך 20,000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(ז) משיכה ביום 13.2.2011 סך 8,000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(ח) משיכה ביום 14.2.2011 סך 60,000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(ט) משיכה ביום 23.05.2011 סך 34,800 ₪;</w:t>
      </w:r>
    </w:p>
    <w:p w:rsidR="00617B73" w:rsidRDefault="00617B73" w:rsidP="00765BA7">
      <w:pPr>
        <w:spacing w:line="360" w:lineRule="auto"/>
        <w:ind w:left="1440" w:hanging="720"/>
        <w:jc w:val="both"/>
        <w:rPr>
          <w:rFonts w:ascii="FrankRuehl" w:hAnsi="FrankRuehl" w:cs="FrankRuehl"/>
          <w:sz w:val="28"/>
          <w:szCs w:val="28"/>
          <w:rtl/>
        </w:rPr>
      </w:pPr>
    </w:p>
    <w:p w:rsidR="00765BA7" w:rsidRDefault="00765BA7" w:rsidP="00606666">
      <w:pPr>
        <w:spacing w:line="360" w:lineRule="auto"/>
        <w:ind w:left="1440" w:hanging="720"/>
        <w:jc w:val="both"/>
        <w:rPr>
          <w:rFonts w:ascii="FrankRuehl" w:hAnsi="FrankRuehl" w:cs="FrankRuehl"/>
          <w:b/>
          <w:bCs/>
          <w:sz w:val="28"/>
          <w:szCs w:val="28"/>
          <w:rtl/>
        </w:rPr>
      </w:pPr>
      <w:r>
        <w:rPr>
          <w:rFonts w:ascii="FrankRuehl" w:hAnsi="FrankRuehl" w:cs="FrankRuehl"/>
          <w:b/>
          <w:bCs/>
          <w:sz w:val="28"/>
          <w:szCs w:val="28"/>
          <w:rtl/>
        </w:rPr>
        <w:t xml:space="preserve">מח-ן </w:t>
      </w:r>
      <w:r w:rsidR="00606666">
        <w:rPr>
          <w:rFonts w:ascii="FrankRuehl" w:hAnsi="FrankRuehl" w:cs="FrankRuehl" w:hint="cs"/>
          <w:b/>
          <w:bCs/>
          <w:sz w:val="28"/>
          <w:szCs w:val="28"/>
          <w:rtl/>
        </w:rPr>
        <w:t xml:space="preserve">---- </w:t>
      </w:r>
      <w:r>
        <w:rPr>
          <w:rFonts w:ascii="FrankRuehl" w:hAnsi="FrankRuehl" w:cs="FrankRuehl"/>
          <w:b/>
          <w:bCs/>
          <w:sz w:val="28"/>
          <w:szCs w:val="28"/>
          <w:rtl/>
        </w:rPr>
        <w:t>בנק "לאומי" סך 540,010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(א) משיכה ביום 03.02.2004 סך 20,000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(ב) משיכה ביום 08.02.2004 סך 100,000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(ג) משיכה ביום 05.05.2004 סך 6,700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(ד) משיכה ביום 23.06.2004 סך 10,000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(ה) משיכה ביום 20.02.2006 סך 10,000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(ו) משיכה ביום 27.04.2006 סך 106,549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(ז) משיכה ביום 03.03.2008 סך 10,000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(ח) משיכה ביום 19.03.2008 סך 34,500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(ט) משיכה ביום 03.04.2008 סך 10,000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(י) משיכה ביום 27.05.2008 סך 6,000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(יא) משיכה ביום 03.07.2008 סך 8,000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(יב) משיכה ביום 02.09.2008 סך 6,000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(יג) משיכה ביום 03.11.2008 סך 10,000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(יד) משיכה ביום 14.12.2008 סך 10,000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(טו) משיכה ביום 17.05.2009 סך 46,000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(זו) משיכה ביום 27.05.2009 סך 46,000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(יז) משיכה ביום 10.08.2009 סך 10,000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(יח) משיכה ביום 17.12.2009 סך 7,000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lastRenderedPageBreak/>
        <w:t>(יט) משיכה ביום 25.10.2010 סך 10,000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(כ) משיכה ביום 25.10.2010 סך 36,500 ₪;</w:t>
      </w:r>
    </w:p>
    <w:p w:rsidR="00765BA7" w:rsidRDefault="00765BA7" w:rsidP="00765BA7">
      <w:pPr>
        <w:spacing w:line="360" w:lineRule="auto"/>
        <w:ind w:left="1440" w:hanging="720"/>
        <w:jc w:val="both"/>
        <w:rPr>
          <w:rFonts w:ascii="FrankRuehl" w:hAnsi="FrankRuehl" w:cs="FrankRuehl"/>
          <w:sz w:val="28"/>
          <w:szCs w:val="28"/>
          <w:rtl/>
        </w:rPr>
      </w:pPr>
      <w:r>
        <w:rPr>
          <w:rFonts w:ascii="FrankRuehl" w:hAnsi="FrankRuehl" w:cs="FrankRuehl"/>
          <w:sz w:val="28"/>
          <w:szCs w:val="28"/>
          <w:rtl/>
        </w:rPr>
        <w:t>(כא) משיכה ביום 03.09.2013 סך 36,761 ₪;</w:t>
      </w:r>
    </w:p>
    <w:p w:rsidR="00765BA7" w:rsidRDefault="00765BA7" w:rsidP="00765BA7">
      <w:pPr>
        <w:spacing w:line="360" w:lineRule="auto"/>
        <w:jc w:val="both"/>
        <w:rPr>
          <w:rFonts w:ascii="FrankRuehl" w:hAnsi="FrankRuehl" w:cs="FrankRuehl"/>
          <w:sz w:val="28"/>
          <w:szCs w:val="28"/>
          <w:rtl/>
        </w:rPr>
      </w:pPr>
    </w:p>
    <w:p w:rsidR="00617B73" w:rsidRDefault="00765BA7" w:rsidP="00617B73">
      <w:pPr>
        <w:spacing w:line="360" w:lineRule="auto"/>
        <w:ind w:left="1440" w:hanging="720"/>
        <w:jc w:val="both"/>
        <w:rPr>
          <w:rFonts w:ascii="FrankRuehl" w:hAnsi="FrankRuehl" w:cs="FrankRuehl"/>
          <w:b/>
          <w:bCs/>
          <w:sz w:val="28"/>
          <w:szCs w:val="28"/>
          <w:rtl/>
        </w:rPr>
      </w:pPr>
      <w:r>
        <w:rPr>
          <w:rFonts w:ascii="FrankRuehl" w:hAnsi="FrankRuehl" w:cs="FrankRuehl"/>
          <w:b/>
          <w:bCs/>
          <w:sz w:val="28"/>
          <w:szCs w:val="28"/>
          <w:rtl/>
        </w:rPr>
        <w:t>32.9.</w:t>
      </w:r>
      <w:r>
        <w:rPr>
          <w:rFonts w:ascii="FrankRuehl" w:hAnsi="FrankRuehl" w:cs="FrankRuehl"/>
          <w:b/>
          <w:bCs/>
          <w:sz w:val="28"/>
          <w:szCs w:val="28"/>
          <w:rtl/>
        </w:rPr>
        <w:tab/>
      </w:r>
      <w:r w:rsidR="002953B6">
        <w:rPr>
          <w:rFonts w:ascii="FrankRuehl" w:hAnsi="FrankRuehl" w:cs="FrankRuehl" w:hint="cs"/>
          <w:b/>
          <w:bCs/>
          <w:sz w:val="28"/>
          <w:szCs w:val="28"/>
          <w:rtl/>
        </w:rPr>
        <w:t>עוד כספים שיש להביא בחשבון הם מש</w:t>
      </w:r>
      <w:r>
        <w:rPr>
          <w:rFonts w:ascii="FrankRuehl" w:hAnsi="FrankRuehl" w:cs="FrankRuehl"/>
          <w:b/>
          <w:bCs/>
          <w:sz w:val="28"/>
          <w:szCs w:val="28"/>
          <w:rtl/>
        </w:rPr>
        <w:t xml:space="preserve">יכות מזומן </w:t>
      </w:r>
      <w:r w:rsidR="002953B6" w:rsidRPr="00617B73">
        <w:rPr>
          <w:rFonts w:ascii="FrankRuehl" w:hAnsi="FrankRuehl" w:cs="FrankRuehl" w:hint="cs"/>
          <w:b/>
          <w:bCs/>
          <w:sz w:val="28"/>
          <w:szCs w:val="28"/>
          <w:u w:val="single"/>
          <w:rtl/>
        </w:rPr>
        <w:t>לאחר פטירת המנוחה</w:t>
      </w:r>
      <w:r w:rsidR="00617B73">
        <w:rPr>
          <w:rFonts w:ascii="FrankRuehl" w:hAnsi="FrankRuehl" w:cs="FrankRuehl" w:hint="cs"/>
          <w:b/>
          <w:bCs/>
          <w:sz w:val="28"/>
          <w:szCs w:val="28"/>
          <w:rtl/>
        </w:rPr>
        <w:t xml:space="preserve">. </w:t>
      </w:r>
    </w:p>
    <w:p w:rsidR="002953B6" w:rsidRDefault="00617B73" w:rsidP="00617B73">
      <w:pPr>
        <w:spacing w:line="360" w:lineRule="auto"/>
        <w:ind w:left="1440"/>
        <w:jc w:val="both"/>
        <w:rPr>
          <w:rFonts w:ascii="FrankRuehl" w:hAnsi="FrankRuehl" w:cs="FrankRuehl"/>
          <w:sz w:val="28"/>
          <w:szCs w:val="28"/>
          <w:rtl/>
        </w:rPr>
      </w:pPr>
      <w:r>
        <w:rPr>
          <w:rFonts w:ascii="FrankRuehl" w:hAnsi="FrankRuehl" w:cs="FrankRuehl"/>
          <w:sz w:val="28"/>
          <w:szCs w:val="28"/>
          <w:rtl/>
        </w:rPr>
        <w:t>הואיל ומדובר במשיכות לאחר פטירת המנוחה, אין ספק כי מדובר בכספי עִזבון שיש לחלקם בחלקים שווים בין היורשים</w:t>
      </w:r>
      <w:r>
        <w:rPr>
          <w:rFonts w:ascii="FrankRuehl" w:hAnsi="FrankRuehl" w:cs="FrankRuehl" w:hint="cs"/>
          <w:sz w:val="28"/>
          <w:szCs w:val="28"/>
          <w:rtl/>
        </w:rPr>
        <w:t>:</w:t>
      </w:r>
    </w:p>
    <w:p w:rsidR="00617B73" w:rsidRDefault="00617B73" w:rsidP="00617B73">
      <w:pPr>
        <w:spacing w:line="360" w:lineRule="auto"/>
        <w:ind w:left="1440"/>
        <w:jc w:val="both"/>
        <w:rPr>
          <w:rFonts w:ascii="FrankRuehl" w:hAnsi="FrankRuehl" w:cs="FrankRuehl"/>
          <w:b/>
          <w:bCs/>
          <w:sz w:val="28"/>
          <w:szCs w:val="28"/>
          <w:rtl/>
        </w:rPr>
      </w:pPr>
    </w:p>
    <w:p w:rsidR="00765BA7" w:rsidRDefault="00765BA7" w:rsidP="00606666">
      <w:pPr>
        <w:spacing w:line="360" w:lineRule="auto"/>
        <w:ind w:left="1440"/>
        <w:jc w:val="both"/>
        <w:rPr>
          <w:rFonts w:ascii="FrankRuehl" w:hAnsi="FrankRuehl" w:cs="FrankRuehl"/>
          <w:sz w:val="28"/>
          <w:szCs w:val="28"/>
          <w:rtl/>
        </w:rPr>
      </w:pPr>
      <w:r>
        <w:rPr>
          <w:rFonts w:ascii="FrankRuehl" w:hAnsi="FrankRuehl" w:cs="FrankRuehl"/>
          <w:b/>
          <w:bCs/>
          <w:sz w:val="28"/>
          <w:szCs w:val="28"/>
          <w:rtl/>
        </w:rPr>
        <w:t>ע</w:t>
      </w:r>
      <w:r w:rsidR="002953B6">
        <w:rPr>
          <w:rFonts w:ascii="FrankRuehl" w:hAnsi="FrankRuehl" w:cs="FrankRuehl" w:hint="cs"/>
          <w:b/>
          <w:bCs/>
          <w:sz w:val="28"/>
          <w:szCs w:val="28"/>
          <w:rtl/>
        </w:rPr>
        <w:t xml:space="preserve">"י </w:t>
      </w:r>
      <w:r>
        <w:rPr>
          <w:rFonts w:ascii="FrankRuehl" w:hAnsi="FrankRuehl" w:cs="FrankRuehl"/>
          <w:b/>
          <w:bCs/>
          <w:sz w:val="28"/>
          <w:szCs w:val="28"/>
          <w:rtl/>
        </w:rPr>
        <w:t xml:space="preserve">נתבע 1 מח-ן </w:t>
      </w:r>
      <w:r w:rsidR="00606666">
        <w:rPr>
          <w:rFonts w:ascii="FrankRuehl" w:hAnsi="FrankRuehl" w:cs="FrankRuehl" w:hint="cs"/>
          <w:b/>
          <w:bCs/>
          <w:sz w:val="28"/>
          <w:szCs w:val="28"/>
          <w:rtl/>
        </w:rPr>
        <w:t xml:space="preserve">---- </w:t>
      </w:r>
      <w:r>
        <w:rPr>
          <w:rFonts w:ascii="FrankRuehl" w:hAnsi="FrankRuehl" w:cs="FrankRuehl"/>
          <w:b/>
          <w:bCs/>
          <w:sz w:val="28"/>
          <w:szCs w:val="28"/>
          <w:rtl/>
        </w:rPr>
        <w:t>בנק "לאומי", סך 50,</w:t>
      </w:r>
      <w:r w:rsidR="009E7E07">
        <w:rPr>
          <w:rFonts w:ascii="FrankRuehl" w:hAnsi="FrankRuehl" w:cs="FrankRuehl" w:hint="cs"/>
          <w:b/>
          <w:bCs/>
          <w:sz w:val="28"/>
          <w:szCs w:val="28"/>
          <w:rtl/>
        </w:rPr>
        <w:t>7</w:t>
      </w:r>
      <w:r>
        <w:rPr>
          <w:rFonts w:ascii="FrankRuehl" w:hAnsi="FrankRuehl" w:cs="FrankRuehl"/>
          <w:b/>
          <w:bCs/>
          <w:sz w:val="28"/>
          <w:szCs w:val="28"/>
          <w:rtl/>
        </w:rPr>
        <w:t>00 ₪</w:t>
      </w:r>
      <w:r>
        <w:rPr>
          <w:rFonts w:ascii="FrankRuehl" w:hAnsi="FrankRuehl" w:cs="FrankRuehl"/>
          <w:sz w:val="28"/>
          <w:szCs w:val="28"/>
          <w:rtl/>
        </w:rPr>
        <w:t>:</w:t>
      </w:r>
    </w:p>
    <w:p w:rsidR="00765BA7" w:rsidRDefault="00765BA7" w:rsidP="00765BA7">
      <w:pPr>
        <w:spacing w:line="360" w:lineRule="auto"/>
        <w:ind w:left="720" w:firstLine="720"/>
        <w:jc w:val="both"/>
        <w:rPr>
          <w:rFonts w:ascii="FrankRuehl" w:hAnsi="FrankRuehl" w:cs="FrankRuehl"/>
          <w:sz w:val="28"/>
          <w:szCs w:val="28"/>
          <w:rtl/>
        </w:rPr>
      </w:pPr>
      <w:r>
        <w:rPr>
          <w:rFonts w:ascii="FrankRuehl" w:hAnsi="FrankRuehl" w:cs="FrankRuehl"/>
          <w:sz w:val="28"/>
          <w:szCs w:val="28"/>
          <w:rtl/>
        </w:rPr>
        <w:t>(א) ביום 19.01.2014 סך 6,000 ₪;</w:t>
      </w:r>
    </w:p>
    <w:p w:rsidR="00765BA7" w:rsidRDefault="00765BA7" w:rsidP="00765BA7">
      <w:pPr>
        <w:spacing w:line="360" w:lineRule="auto"/>
        <w:ind w:left="720" w:firstLine="720"/>
        <w:jc w:val="both"/>
        <w:rPr>
          <w:rFonts w:ascii="FrankRuehl" w:hAnsi="FrankRuehl" w:cs="FrankRuehl"/>
          <w:sz w:val="28"/>
          <w:szCs w:val="28"/>
          <w:rtl/>
        </w:rPr>
      </w:pPr>
      <w:r>
        <w:rPr>
          <w:rFonts w:ascii="FrankRuehl" w:hAnsi="FrankRuehl" w:cs="FrankRuehl"/>
          <w:sz w:val="28"/>
          <w:szCs w:val="28"/>
          <w:rtl/>
        </w:rPr>
        <w:t>(ב) ביום 20.02.2014 סך 24,000 ₪;</w:t>
      </w:r>
    </w:p>
    <w:p w:rsidR="00765BA7" w:rsidRDefault="00765BA7" w:rsidP="00765BA7">
      <w:pPr>
        <w:spacing w:line="360" w:lineRule="auto"/>
        <w:ind w:left="720" w:firstLine="720"/>
        <w:jc w:val="both"/>
        <w:rPr>
          <w:rFonts w:ascii="FrankRuehl" w:hAnsi="FrankRuehl" w:cs="FrankRuehl"/>
          <w:sz w:val="28"/>
          <w:szCs w:val="28"/>
          <w:rtl/>
        </w:rPr>
      </w:pPr>
      <w:r>
        <w:rPr>
          <w:rFonts w:ascii="FrankRuehl" w:hAnsi="FrankRuehl" w:cs="FrankRuehl"/>
          <w:sz w:val="28"/>
          <w:szCs w:val="28"/>
          <w:rtl/>
        </w:rPr>
        <w:t>(ג) ביום 27.02.2014 סך 20,700 ₪.</w:t>
      </w:r>
    </w:p>
    <w:p w:rsidR="00617B73" w:rsidRDefault="00617B73" w:rsidP="00765BA7">
      <w:pPr>
        <w:spacing w:line="360" w:lineRule="auto"/>
        <w:ind w:left="720" w:firstLine="720"/>
        <w:jc w:val="both"/>
        <w:rPr>
          <w:rFonts w:ascii="FrankRuehl" w:hAnsi="FrankRuehl" w:cs="FrankRuehl"/>
          <w:sz w:val="28"/>
          <w:szCs w:val="28"/>
          <w:rtl/>
        </w:rPr>
      </w:pPr>
    </w:p>
    <w:p w:rsidR="00617B73" w:rsidRDefault="00765BA7" w:rsidP="00606666">
      <w:pPr>
        <w:spacing w:line="360" w:lineRule="auto"/>
        <w:ind w:left="1440"/>
        <w:jc w:val="both"/>
        <w:rPr>
          <w:rFonts w:ascii="FrankRuehl" w:hAnsi="FrankRuehl" w:cs="FrankRuehl"/>
          <w:b/>
          <w:bCs/>
          <w:sz w:val="28"/>
          <w:szCs w:val="28"/>
          <w:rtl/>
        </w:rPr>
      </w:pPr>
      <w:r>
        <w:rPr>
          <w:rFonts w:ascii="FrankRuehl" w:hAnsi="FrankRuehl" w:cs="FrankRuehl"/>
          <w:b/>
          <w:bCs/>
          <w:sz w:val="28"/>
          <w:szCs w:val="28"/>
          <w:rtl/>
        </w:rPr>
        <w:t>ע</w:t>
      </w:r>
      <w:r w:rsidR="00617B73">
        <w:rPr>
          <w:rFonts w:ascii="FrankRuehl" w:hAnsi="FrankRuehl" w:cs="FrankRuehl" w:hint="cs"/>
          <w:b/>
          <w:bCs/>
          <w:sz w:val="28"/>
          <w:szCs w:val="28"/>
          <w:rtl/>
        </w:rPr>
        <w:t xml:space="preserve">"י </w:t>
      </w:r>
      <w:r>
        <w:rPr>
          <w:rFonts w:ascii="FrankRuehl" w:hAnsi="FrankRuehl" w:cs="FrankRuehl"/>
          <w:b/>
          <w:bCs/>
          <w:sz w:val="28"/>
          <w:szCs w:val="28"/>
          <w:rtl/>
        </w:rPr>
        <w:t xml:space="preserve">נתבע 2 מבנק "ערבי-ישראלי" חשבון </w:t>
      </w:r>
      <w:r w:rsidR="00606666">
        <w:rPr>
          <w:rFonts w:ascii="FrankRuehl" w:hAnsi="FrankRuehl" w:cs="FrankRuehl" w:hint="cs"/>
          <w:b/>
          <w:bCs/>
          <w:sz w:val="28"/>
          <w:szCs w:val="28"/>
          <w:rtl/>
        </w:rPr>
        <w:t>----</w:t>
      </w:r>
      <w:r>
        <w:rPr>
          <w:rFonts w:ascii="FrankRuehl" w:hAnsi="FrankRuehl" w:cs="FrankRuehl"/>
          <w:b/>
          <w:bCs/>
          <w:sz w:val="28"/>
          <w:szCs w:val="28"/>
          <w:rtl/>
        </w:rPr>
        <w:t>, סך 66,684 ₪</w:t>
      </w:r>
      <w:r w:rsidR="00617B73">
        <w:rPr>
          <w:rFonts w:ascii="FrankRuehl" w:hAnsi="FrankRuehl" w:cs="FrankRuehl" w:hint="cs"/>
          <w:b/>
          <w:bCs/>
          <w:sz w:val="28"/>
          <w:szCs w:val="28"/>
          <w:rtl/>
        </w:rPr>
        <w:t>:</w:t>
      </w:r>
    </w:p>
    <w:p w:rsidR="00765BA7" w:rsidRDefault="00765BA7" w:rsidP="00765BA7">
      <w:pPr>
        <w:spacing w:line="360" w:lineRule="auto"/>
        <w:ind w:left="720" w:hanging="720"/>
        <w:jc w:val="both"/>
        <w:rPr>
          <w:rFonts w:ascii="FrankRuehl" w:hAnsi="FrankRuehl" w:cs="FrankRuehl"/>
          <w:sz w:val="28"/>
          <w:szCs w:val="28"/>
          <w:rtl/>
        </w:rPr>
      </w:pPr>
      <w:r>
        <w:rPr>
          <w:rFonts w:ascii="FrankRuehl" w:hAnsi="FrankRuehl" w:cs="FrankRuehl"/>
          <w:sz w:val="28"/>
          <w:szCs w:val="28"/>
          <w:rtl/>
        </w:rPr>
        <w:tab/>
      </w:r>
      <w:r>
        <w:rPr>
          <w:rFonts w:ascii="FrankRuehl" w:hAnsi="FrankRuehl" w:cs="FrankRuehl"/>
          <w:sz w:val="28"/>
          <w:szCs w:val="28"/>
          <w:rtl/>
        </w:rPr>
        <w:tab/>
        <w:t>(א) ביום 6.2.2014 סך 5,000 ₪.</w:t>
      </w:r>
    </w:p>
    <w:p w:rsidR="00765BA7" w:rsidRDefault="00765BA7" w:rsidP="00765BA7">
      <w:pPr>
        <w:spacing w:line="360" w:lineRule="auto"/>
        <w:ind w:left="1440"/>
        <w:jc w:val="both"/>
        <w:rPr>
          <w:rFonts w:ascii="FrankRuehl" w:hAnsi="FrankRuehl" w:cs="FrankRuehl"/>
          <w:sz w:val="28"/>
          <w:szCs w:val="28"/>
          <w:rtl/>
        </w:rPr>
      </w:pPr>
      <w:r>
        <w:rPr>
          <w:rFonts w:ascii="FrankRuehl" w:hAnsi="FrankRuehl" w:cs="FrankRuehl"/>
          <w:sz w:val="28"/>
          <w:szCs w:val="28"/>
          <w:rtl/>
        </w:rPr>
        <w:t>(ב) ביום 26.3.2014 סך 61,684 ₪.</w:t>
      </w:r>
    </w:p>
    <w:p w:rsidR="00765BA7" w:rsidRDefault="00765BA7" w:rsidP="002953B6">
      <w:pPr>
        <w:spacing w:line="360" w:lineRule="auto"/>
        <w:ind w:left="1440"/>
        <w:jc w:val="both"/>
        <w:rPr>
          <w:rFonts w:ascii="FrankRuehl" w:hAnsi="FrankRuehl" w:cs="FrankRuehl"/>
          <w:sz w:val="28"/>
          <w:szCs w:val="28"/>
          <w:rtl/>
        </w:rPr>
      </w:pPr>
      <w:r>
        <w:rPr>
          <w:rFonts w:ascii="FrankRuehl" w:hAnsi="FrankRuehl" w:cs="FrankRuehl"/>
          <w:sz w:val="28"/>
          <w:szCs w:val="28"/>
          <w:rtl/>
        </w:rPr>
        <w:t>הנתבעים הודו כי חלקו ביניהם סכום זה כי לדעתם התובע קיבל יותר. ראו עמוד 113 שורות 5-35 לפרוטוקול המתומלל:</w:t>
      </w:r>
    </w:p>
    <w:p w:rsidR="002953B6" w:rsidRDefault="002953B6" w:rsidP="002953B6">
      <w:pPr>
        <w:spacing w:line="360" w:lineRule="auto"/>
        <w:ind w:left="1440"/>
        <w:jc w:val="both"/>
        <w:rPr>
          <w:rFonts w:ascii="FrankRuehl" w:hAnsi="FrankRuehl" w:cs="FrankRuehl"/>
          <w:sz w:val="28"/>
          <w:szCs w:val="28"/>
          <w:rtl/>
        </w:rPr>
      </w:pPr>
    </w:p>
    <w:p w:rsidR="00765BA7" w:rsidRPr="00573E92" w:rsidRDefault="00765BA7" w:rsidP="00765BA7">
      <w:pPr>
        <w:ind w:left="3600" w:right="1134" w:hanging="2160"/>
        <w:jc w:val="both"/>
        <w:rPr>
          <w:rFonts w:ascii="FrankRuehl" w:hAnsi="FrankRuehl" w:cs="Miriam"/>
          <w:noProof w:val="0"/>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תגיד לי, למה אמא פתחה חשבון? אמא פנסיונרית, יש לה קיצבת זיקנה, יש לה בנק לאומי ויש לה בנק ערבי. ופתאום היא פותחת חשבון שלישי. שכל מה שיש בו זה עוד פעם קיצבת זיקנה מסכנה. בשביל מה כל הטררם הזה? בשביל מה כל ה-,</w:t>
      </w:r>
    </w:p>
    <w:p w:rsidR="00765BA7" w:rsidRPr="00573E92" w:rsidRDefault="00765BA7" w:rsidP="00765BA7">
      <w:pPr>
        <w:ind w:left="3600" w:right="1134" w:hanging="2160"/>
        <w:jc w:val="both"/>
        <w:rPr>
          <w:rFonts w:ascii="FrankRuehl" w:hAnsi="FrankRuehl" w:cs="Miriam"/>
          <w:sz w:val="20"/>
          <w:szCs w:val="20"/>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מה זה חשבון שלישי? איזה חשבון?</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היה לה עוד חשבון שאתה שותף בו.</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זה בסוף, כן. היה 60,000 שקל,</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איך?</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60,000 שקל, נכון?</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(לא ברור, 11:00)</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כן.</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מה זה?</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היא ביקשה שאני אכנס לחשבון הזה. ונתחלק אני ואח שלי.</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 xml:space="preserve">אז אתה חילקת עם </w:t>
      </w:r>
      <w:r w:rsidR="003E4826">
        <w:rPr>
          <w:rFonts w:ascii="FrankRuehl" w:hAnsi="FrankRuehl" w:cs="Miriam"/>
          <w:sz w:val="20"/>
          <w:szCs w:val="20"/>
          <w:rtl/>
          <w:lang w:val="x-none" w:eastAsia="he-IL"/>
        </w:rPr>
        <w:t>א.ר.2</w:t>
      </w:r>
      <w:r w:rsidRPr="00573E92">
        <w:rPr>
          <w:rFonts w:ascii="FrankRuehl" w:hAnsi="FrankRuehl" w:cs="Miriam"/>
          <w:sz w:val="20"/>
          <w:szCs w:val="20"/>
          <w:rtl/>
          <w:lang w:val="x-none" w:eastAsia="he-IL"/>
        </w:rPr>
        <w:t>?</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כן.</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כי הוא לא אמר לנו ש-,</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לא, למה אמר,</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lastRenderedPageBreak/>
        <w:t>ש:</w:t>
      </w:r>
      <w:r w:rsidRPr="00573E92">
        <w:rPr>
          <w:rFonts w:ascii="FrankRuehl" w:hAnsi="FrankRuehl" w:cs="Miriam"/>
          <w:sz w:val="20"/>
          <w:szCs w:val="20"/>
          <w:rtl/>
          <w:lang w:val="x-none" w:eastAsia="he-IL"/>
        </w:rPr>
        <w:tab/>
        <w:t>הוא אמר "שיהיה לך לבריאות". תחליטו. אתם לא מתואמים.</w:t>
      </w:r>
    </w:p>
    <w:p w:rsidR="00765BA7" w:rsidRPr="00573E92" w:rsidRDefault="00765BA7" w:rsidP="00765BA7">
      <w:pPr>
        <w:ind w:left="2880" w:right="1134" w:hanging="144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r>
      <w:r w:rsidRPr="00573E92">
        <w:rPr>
          <w:rFonts w:ascii="FrankRuehl" w:hAnsi="FrankRuehl" w:cs="Miriam"/>
          <w:sz w:val="20"/>
          <w:szCs w:val="20"/>
          <w:rtl/>
          <w:lang w:val="x-none" w:eastAsia="he-IL"/>
        </w:rPr>
        <w:tab/>
        <w:t>לא על זה הוא אמר,</w:t>
      </w:r>
    </w:p>
    <w:p w:rsidR="00765BA7" w:rsidRPr="00573E92" w:rsidRDefault="00765BA7" w:rsidP="00765BA7">
      <w:pPr>
        <w:ind w:left="2160" w:right="1134" w:hanging="72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עו"ד רביב:</w:t>
      </w:r>
      <w:r w:rsidRPr="00573E92">
        <w:rPr>
          <w:rFonts w:ascii="FrankRuehl" w:hAnsi="FrankRuehl" w:cs="Miriam"/>
          <w:sz w:val="20"/>
          <w:szCs w:val="20"/>
          <w:rtl/>
          <w:lang w:val="x-none" w:eastAsia="he-IL"/>
        </w:rPr>
        <w:tab/>
      </w:r>
      <w:r w:rsidRPr="00573E92">
        <w:rPr>
          <w:rFonts w:ascii="FrankRuehl" w:hAnsi="FrankRuehl" w:cs="Miriam"/>
          <w:sz w:val="20"/>
          <w:szCs w:val="20"/>
          <w:rtl/>
          <w:lang w:val="x-none" w:eastAsia="he-IL"/>
        </w:rPr>
        <w:tab/>
        <w:t>נכון, הם לא מתואמים.</w:t>
      </w:r>
    </w:p>
    <w:p w:rsidR="00765BA7" w:rsidRPr="00573E92" w:rsidRDefault="00765BA7" w:rsidP="00765BA7">
      <w:pPr>
        <w:ind w:left="2160" w:right="1134" w:hanging="72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עו"ד ג'ריס:</w:t>
      </w:r>
      <w:r w:rsidRPr="00573E92">
        <w:rPr>
          <w:rFonts w:ascii="FrankRuehl" w:hAnsi="FrankRuehl" w:cs="Miriam"/>
          <w:sz w:val="20"/>
          <w:szCs w:val="20"/>
          <w:rtl/>
          <w:lang w:val="x-none" w:eastAsia="he-IL"/>
        </w:rPr>
        <w:tab/>
      </w:r>
      <w:r w:rsidRPr="00573E92">
        <w:rPr>
          <w:rFonts w:ascii="FrankRuehl" w:hAnsi="FrankRuehl" w:cs="Miriam"/>
          <w:sz w:val="20"/>
          <w:szCs w:val="20"/>
          <w:rtl/>
          <w:lang w:val="x-none" w:eastAsia="he-IL"/>
        </w:rPr>
        <w:tab/>
        <w:t>הם לא מתואמים.</w:t>
      </w:r>
    </w:p>
    <w:p w:rsidR="00765BA7" w:rsidRPr="00573E92" w:rsidRDefault="00765BA7" w:rsidP="00765BA7">
      <w:pPr>
        <w:ind w:left="2160" w:right="1134" w:hanging="72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עו"ד רביב:</w:t>
      </w:r>
      <w:r w:rsidRPr="00573E92">
        <w:rPr>
          <w:rFonts w:ascii="FrankRuehl" w:hAnsi="FrankRuehl" w:cs="Miriam"/>
          <w:sz w:val="20"/>
          <w:szCs w:val="20"/>
          <w:rtl/>
          <w:lang w:val="x-none" w:eastAsia="he-IL"/>
        </w:rPr>
        <w:tab/>
      </w:r>
      <w:r w:rsidRPr="00573E92">
        <w:rPr>
          <w:rFonts w:ascii="FrankRuehl" w:hAnsi="FrankRuehl" w:cs="Miriam"/>
          <w:sz w:val="20"/>
          <w:szCs w:val="20"/>
          <w:rtl/>
          <w:lang w:val="x-none" w:eastAsia="he-IL"/>
        </w:rPr>
        <w:tab/>
        <w:t>הם לא מתואמים.</w:t>
      </w:r>
    </w:p>
    <w:p w:rsidR="00765BA7" w:rsidRPr="00573E92" w:rsidRDefault="00765BA7" w:rsidP="00765BA7">
      <w:pPr>
        <w:ind w:left="2160" w:right="1134" w:hanging="72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עו"ד ג'ריס:</w:t>
      </w:r>
      <w:r w:rsidRPr="00573E92">
        <w:rPr>
          <w:rFonts w:ascii="FrankRuehl" w:hAnsi="FrankRuehl" w:cs="Miriam"/>
          <w:sz w:val="20"/>
          <w:szCs w:val="20"/>
          <w:rtl/>
          <w:lang w:val="x-none" w:eastAsia="he-IL"/>
        </w:rPr>
        <w:tab/>
      </w:r>
      <w:r w:rsidRPr="00573E92">
        <w:rPr>
          <w:rFonts w:ascii="FrankRuehl" w:hAnsi="FrankRuehl" w:cs="Miriam"/>
          <w:sz w:val="20"/>
          <w:szCs w:val="20"/>
          <w:rtl/>
          <w:lang w:val="x-none" w:eastAsia="he-IL"/>
        </w:rPr>
        <w:tab/>
        <w:t>הבנתי. זה מה שקורה, ככה צצים העניינים.</w:t>
      </w:r>
    </w:p>
    <w:p w:rsidR="00765BA7" w:rsidRPr="00573E92" w:rsidRDefault="00765BA7" w:rsidP="00765BA7">
      <w:pPr>
        <w:ind w:left="2880" w:right="1134" w:hanging="144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עו"ד רביב:</w:t>
      </w:r>
      <w:r w:rsidRPr="00573E92">
        <w:rPr>
          <w:rFonts w:ascii="FrankRuehl" w:hAnsi="FrankRuehl" w:cs="Miriam"/>
          <w:sz w:val="20"/>
          <w:szCs w:val="20"/>
          <w:rtl/>
          <w:lang w:val="x-none" w:eastAsia="he-IL"/>
        </w:rPr>
        <w:tab/>
      </w:r>
      <w:r w:rsidRPr="00573E92">
        <w:rPr>
          <w:rFonts w:ascii="FrankRuehl" w:hAnsi="FrankRuehl" w:cs="Miriam"/>
          <w:sz w:val="20"/>
          <w:szCs w:val="20"/>
          <w:rtl/>
          <w:lang w:val="x-none" w:eastAsia="he-IL"/>
        </w:rPr>
        <w:tab/>
        <w:t>זאת האמת. הם לא מתואמים.</w:t>
      </w:r>
    </w:p>
    <w:p w:rsidR="00765BA7" w:rsidRPr="00573E92" w:rsidRDefault="00765BA7" w:rsidP="00765BA7">
      <w:pPr>
        <w:ind w:left="2160" w:right="1134" w:hanging="72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עו"ד ג'ריס:</w:t>
      </w:r>
      <w:r w:rsidRPr="00573E92">
        <w:rPr>
          <w:rFonts w:ascii="FrankRuehl" w:hAnsi="FrankRuehl" w:cs="Miriam"/>
          <w:sz w:val="20"/>
          <w:szCs w:val="20"/>
          <w:rtl/>
          <w:lang w:val="x-none" w:eastAsia="he-IL"/>
        </w:rPr>
        <w:tab/>
      </w:r>
      <w:r w:rsidRPr="00573E92">
        <w:rPr>
          <w:rFonts w:ascii="FrankRuehl" w:hAnsi="FrankRuehl" w:cs="Miriam"/>
          <w:sz w:val="20"/>
          <w:szCs w:val="20"/>
          <w:rtl/>
          <w:lang w:val="x-none" w:eastAsia="he-IL"/>
        </w:rPr>
        <w:tab/>
        <w:t>טוב, אז נתת לו 30,000?</w:t>
      </w:r>
    </w:p>
    <w:p w:rsidR="00765BA7" w:rsidRPr="00573E92" w:rsidRDefault="00765BA7" w:rsidP="00765BA7">
      <w:pPr>
        <w:ind w:left="2880" w:right="1134" w:hanging="144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 xml:space="preserve">העד, מר </w:t>
      </w:r>
      <w:r w:rsidR="003E4826">
        <w:rPr>
          <w:rFonts w:ascii="FrankRuehl" w:hAnsi="FrankRuehl" w:cs="Miriam"/>
          <w:sz w:val="20"/>
          <w:szCs w:val="20"/>
          <w:rtl/>
          <w:lang w:val="x-none" w:eastAsia="he-IL"/>
        </w:rPr>
        <w:t>ר'</w:t>
      </w:r>
      <w:r w:rsidRPr="00573E92">
        <w:rPr>
          <w:rFonts w:ascii="FrankRuehl" w:hAnsi="FrankRuehl" w:cs="Miriam"/>
          <w:sz w:val="20"/>
          <w:szCs w:val="20"/>
          <w:rtl/>
          <w:lang w:val="x-none" w:eastAsia="he-IL"/>
        </w:rPr>
        <w:t>, ס.:</w:t>
      </w:r>
      <w:r w:rsidRPr="00573E92">
        <w:rPr>
          <w:rFonts w:ascii="FrankRuehl" w:hAnsi="FrankRuehl" w:cs="Miriam"/>
          <w:sz w:val="20"/>
          <w:szCs w:val="20"/>
          <w:rtl/>
          <w:lang w:val="x-none" w:eastAsia="he-IL"/>
        </w:rPr>
        <w:tab/>
        <w:t>כן.</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מה-60? ולמה, באיזה זכות אתה עושה את זה? זה כבר, זה כבר אמא נפטרה. אתה, יש 60,000. מגיע לך 20. 20, 20. למה לקחת לכיס?</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אח שלי.</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אח שלך.</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הוא קיבל פי 10 מה שקיבלתי. הוא קיבל, הוא חי, הוא חי,</w:t>
      </w:r>
    </w:p>
    <w:p w:rsidR="00765BA7" w:rsidRPr="00573E92" w:rsidRDefault="00765BA7"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ש:</w:t>
      </w:r>
      <w:r w:rsidRPr="00573E92">
        <w:rPr>
          <w:rFonts w:ascii="FrankRuehl" w:hAnsi="FrankRuehl" w:cs="Miriam"/>
          <w:sz w:val="20"/>
          <w:szCs w:val="20"/>
          <w:rtl/>
          <w:lang w:val="x-none" w:eastAsia="he-IL"/>
        </w:rPr>
        <w:tab/>
        <w:t>אתה זה שמחליט.</w:t>
      </w:r>
    </w:p>
    <w:p w:rsidR="00765BA7" w:rsidRPr="00573E92" w:rsidRDefault="00E45095" w:rsidP="00765BA7">
      <w:pPr>
        <w:ind w:left="3600" w:right="1134" w:hanging="2160"/>
        <w:jc w:val="both"/>
        <w:rPr>
          <w:rFonts w:ascii="FrankRuehl" w:hAnsi="FrankRuehl" w:cs="Miriam"/>
          <w:sz w:val="20"/>
          <w:szCs w:val="20"/>
          <w:rtl/>
          <w:lang w:val="x-none" w:eastAsia="he-IL"/>
        </w:rPr>
      </w:pPr>
      <w:r w:rsidRPr="00573E92">
        <w:rPr>
          <w:rFonts w:ascii="FrankRuehl" w:hAnsi="FrankRuehl" w:cs="Miriam"/>
          <w:sz w:val="20"/>
          <w:szCs w:val="20"/>
          <w:rtl/>
          <w:lang w:val="x-none" w:eastAsia="he-IL"/>
        </w:rPr>
        <w:t>ת:</w:t>
      </w:r>
      <w:r w:rsidRPr="00573E92">
        <w:rPr>
          <w:rFonts w:ascii="FrankRuehl" w:hAnsi="FrankRuehl" w:cs="Miriam"/>
          <w:sz w:val="20"/>
          <w:szCs w:val="20"/>
          <w:rtl/>
          <w:lang w:val="x-none" w:eastAsia="he-IL"/>
        </w:rPr>
        <w:tab/>
        <w:t>בוילה עם בריכה. מאיפה זה?"</w:t>
      </w:r>
    </w:p>
    <w:p w:rsidR="00765BA7" w:rsidRDefault="00765BA7" w:rsidP="00765BA7">
      <w:pPr>
        <w:ind w:right="1134"/>
        <w:jc w:val="both"/>
        <w:rPr>
          <w:rFonts w:ascii="FrankRuehl" w:hAnsi="FrankRuehl" w:cs="FrankRuehl"/>
          <w:sz w:val="28"/>
          <w:szCs w:val="28"/>
          <w:rtl/>
          <w:lang w:val="x-none" w:eastAsia="he-IL"/>
        </w:rPr>
      </w:pPr>
    </w:p>
    <w:p w:rsidR="005E06B9" w:rsidRDefault="00765BA7" w:rsidP="005E06B9">
      <w:pPr>
        <w:spacing w:line="360" w:lineRule="auto"/>
        <w:ind w:left="720" w:hanging="720"/>
        <w:jc w:val="both"/>
        <w:rPr>
          <w:rFonts w:ascii="FrankRuehl" w:hAnsi="FrankRuehl" w:cs="FrankRuehl"/>
          <w:b/>
          <w:bCs/>
          <w:sz w:val="28"/>
          <w:szCs w:val="28"/>
          <w:highlight w:val="yellow"/>
          <w:rtl/>
        </w:rPr>
      </w:pPr>
      <w:r>
        <w:rPr>
          <w:rFonts w:ascii="FrankRuehl" w:hAnsi="FrankRuehl" w:cs="FrankRuehl"/>
          <w:sz w:val="28"/>
          <w:szCs w:val="28"/>
          <w:rtl/>
        </w:rPr>
        <w:t>33.</w:t>
      </w:r>
      <w:r>
        <w:rPr>
          <w:rFonts w:ascii="FrankRuehl" w:hAnsi="FrankRuehl" w:cs="FrankRuehl"/>
          <w:sz w:val="28"/>
          <w:szCs w:val="28"/>
          <w:rtl/>
        </w:rPr>
        <w:tab/>
      </w:r>
      <w:r>
        <w:rPr>
          <w:rFonts w:ascii="FrankRuehl" w:hAnsi="FrankRuehl" w:cs="FrankRuehl"/>
          <w:b/>
          <w:bCs/>
          <w:sz w:val="28"/>
          <w:szCs w:val="28"/>
          <w:rtl/>
        </w:rPr>
        <w:t xml:space="preserve">חיבור הסכומים שפורטו לעיל הוא סך </w:t>
      </w:r>
      <w:r w:rsidR="00E1323A">
        <w:rPr>
          <w:rFonts w:ascii="FrankRuehl" w:hAnsi="FrankRuehl" w:cs="FrankRuehl" w:hint="cs"/>
          <w:b/>
          <w:bCs/>
          <w:sz w:val="28"/>
          <w:szCs w:val="28"/>
          <w:rtl/>
        </w:rPr>
        <w:t>4,797,183 ₪ ש</w:t>
      </w:r>
      <w:r>
        <w:rPr>
          <w:rFonts w:ascii="FrankRuehl" w:hAnsi="FrankRuehl" w:cs="FrankRuehl"/>
          <w:b/>
          <w:bCs/>
          <w:sz w:val="28"/>
          <w:szCs w:val="28"/>
          <w:rtl/>
        </w:rPr>
        <w:t xml:space="preserve">נמשכו לידי הנתבעים ויש לזוקפם על חשבון חלקם בעִזבון ההורים המנוחים. </w:t>
      </w:r>
      <w:r>
        <w:rPr>
          <w:rFonts w:ascii="FrankRuehl" w:hAnsi="FrankRuehl" w:cs="FrankRuehl"/>
          <w:sz w:val="28"/>
          <w:szCs w:val="28"/>
          <w:rtl/>
        </w:rPr>
        <w:t>סכום זה כולל את חלקם של הנתבעים והתובע במקרקעין. מאחר ולתובע הועבר מהנתבע 2 סך 206,</w:t>
      </w:r>
      <w:r w:rsidR="005E06B9">
        <w:rPr>
          <w:rFonts w:ascii="FrankRuehl" w:hAnsi="FrankRuehl" w:cs="FrankRuehl" w:hint="cs"/>
          <w:sz w:val="28"/>
          <w:szCs w:val="28"/>
          <w:rtl/>
        </w:rPr>
        <w:t>27</w:t>
      </w:r>
      <w:r>
        <w:rPr>
          <w:rFonts w:ascii="FrankRuehl" w:hAnsi="FrankRuehl" w:cs="FrankRuehl"/>
          <w:sz w:val="28"/>
          <w:szCs w:val="28"/>
          <w:rtl/>
        </w:rPr>
        <w:t xml:space="preserve">1 ₪, יש להפחית סכום זה והיתרה שנותרה היא </w:t>
      </w:r>
      <w:r>
        <w:rPr>
          <w:rFonts w:ascii="FrankRuehl" w:hAnsi="FrankRuehl" w:cs="FrankRuehl"/>
          <w:b/>
          <w:bCs/>
          <w:sz w:val="28"/>
          <w:szCs w:val="28"/>
          <w:rtl/>
        </w:rPr>
        <w:t>סך 4,</w:t>
      </w:r>
      <w:r w:rsidR="005E06B9">
        <w:rPr>
          <w:rFonts w:ascii="FrankRuehl" w:hAnsi="FrankRuehl" w:cs="FrankRuehl" w:hint="cs"/>
          <w:b/>
          <w:bCs/>
          <w:sz w:val="28"/>
          <w:szCs w:val="28"/>
          <w:rtl/>
        </w:rPr>
        <w:t>590</w:t>
      </w:r>
      <w:r>
        <w:rPr>
          <w:rFonts w:ascii="FrankRuehl" w:hAnsi="FrankRuehl" w:cs="FrankRuehl"/>
          <w:b/>
          <w:bCs/>
          <w:sz w:val="28"/>
          <w:szCs w:val="28"/>
          <w:rtl/>
        </w:rPr>
        <w:t>,</w:t>
      </w:r>
      <w:r w:rsidR="005E06B9">
        <w:rPr>
          <w:rFonts w:ascii="FrankRuehl" w:hAnsi="FrankRuehl" w:cs="FrankRuehl" w:hint="cs"/>
          <w:b/>
          <w:bCs/>
          <w:sz w:val="28"/>
          <w:szCs w:val="28"/>
          <w:rtl/>
        </w:rPr>
        <w:t>912</w:t>
      </w:r>
      <w:r>
        <w:rPr>
          <w:rFonts w:ascii="FrankRuehl" w:hAnsi="FrankRuehl" w:cs="FrankRuehl"/>
          <w:b/>
          <w:bCs/>
          <w:sz w:val="28"/>
          <w:szCs w:val="28"/>
          <w:rtl/>
        </w:rPr>
        <w:t xml:space="preserve"> ₪ אשר נמשך על ידי הנתבעים. </w:t>
      </w:r>
      <w:r w:rsidR="005E06B9">
        <w:rPr>
          <w:rFonts w:ascii="FrankRuehl" w:hAnsi="FrankRuehl" w:cs="FrankRuehl" w:hint="cs"/>
          <w:b/>
          <w:bCs/>
          <w:sz w:val="28"/>
          <w:szCs w:val="28"/>
          <w:rtl/>
        </w:rPr>
        <w:t xml:space="preserve">סכום זה מתחלק בין הנתבעים כך שבידי נתבע 1 סך 2,854,338 ₪ ובידי נתבע 2 סך 1,918,574 ₪ </w:t>
      </w:r>
    </w:p>
    <w:p w:rsidR="00765BA7" w:rsidRDefault="00765BA7" w:rsidP="00765BA7">
      <w:pPr>
        <w:spacing w:line="360" w:lineRule="auto"/>
        <w:jc w:val="both"/>
        <w:rPr>
          <w:rFonts w:ascii="FrankRuehl" w:hAnsi="FrankRuehl" w:cs="FrankRuehl"/>
          <w:b/>
          <w:bCs/>
          <w:sz w:val="28"/>
          <w:szCs w:val="28"/>
          <w:rtl/>
        </w:rPr>
      </w:pPr>
    </w:p>
    <w:p w:rsidR="00765BA7" w:rsidRDefault="00765BA7" w:rsidP="00765BA7">
      <w:pPr>
        <w:spacing w:line="360" w:lineRule="auto"/>
        <w:ind w:left="720" w:hanging="720"/>
        <w:jc w:val="both"/>
        <w:rPr>
          <w:rFonts w:ascii="FrankRuehl" w:hAnsi="FrankRuehl" w:cs="FrankRuehl"/>
          <w:sz w:val="28"/>
          <w:szCs w:val="28"/>
          <w:rtl/>
        </w:rPr>
      </w:pPr>
      <w:r>
        <w:rPr>
          <w:rFonts w:ascii="FrankRuehl" w:hAnsi="FrankRuehl" w:cs="FrankRuehl"/>
          <w:sz w:val="28"/>
          <w:szCs w:val="28"/>
          <w:rtl/>
        </w:rPr>
        <w:tab/>
        <w:t>יוער כי בסיכומיו, מאשר נתבע 1 כי הנתבעים קיבלו יחדיו סך 3,756,440 ₪ (לאחר הפחתת  סך 206,721 ₪ שהועבר לתובע) ומאשר כי התובע קיבל סכום נמוך מהם – ראו סעיף 21 לסיכומיו ובפרט 21.5.</w:t>
      </w:r>
    </w:p>
    <w:p w:rsidR="00765BA7" w:rsidRDefault="00765BA7" w:rsidP="00765BA7">
      <w:pPr>
        <w:spacing w:line="360" w:lineRule="auto"/>
        <w:jc w:val="both"/>
        <w:rPr>
          <w:rFonts w:ascii="FrankRuehl" w:hAnsi="FrankRuehl" w:cs="FrankRuehl"/>
          <w:sz w:val="28"/>
          <w:szCs w:val="28"/>
          <w:rtl/>
        </w:rPr>
      </w:pPr>
    </w:p>
    <w:p w:rsidR="00765BA7" w:rsidRPr="0011019E" w:rsidRDefault="00765BA7" w:rsidP="00E45095">
      <w:pPr>
        <w:spacing w:line="360" w:lineRule="auto"/>
        <w:ind w:left="720" w:hanging="720"/>
        <w:jc w:val="both"/>
        <w:rPr>
          <w:rFonts w:ascii="FrankRuehl" w:hAnsi="FrankRuehl" w:cs="FrankRuehl"/>
          <w:sz w:val="28"/>
          <w:szCs w:val="28"/>
          <w:rtl/>
        </w:rPr>
      </w:pPr>
      <w:r>
        <w:rPr>
          <w:rFonts w:ascii="FrankRuehl" w:hAnsi="FrankRuehl" w:cs="FrankRuehl"/>
          <w:sz w:val="28"/>
          <w:szCs w:val="28"/>
          <w:rtl/>
        </w:rPr>
        <w:t>34.</w:t>
      </w:r>
      <w:r>
        <w:rPr>
          <w:rFonts w:ascii="FrankRuehl" w:hAnsi="FrankRuehl" w:cs="FrankRuehl"/>
          <w:sz w:val="28"/>
          <w:szCs w:val="28"/>
          <w:rtl/>
        </w:rPr>
        <w:tab/>
        <w:t>על פי חוות דעת המומחה, עליה לא חלק התובע, מיום פטירת האב הועברו לתובע מחשבונות האֵם המנוחה</w:t>
      </w:r>
      <w:r w:rsidRPr="0011019E">
        <w:rPr>
          <w:rFonts w:ascii="FrankRuehl" w:hAnsi="FrankRuehl" w:cs="FrankRuehl"/>
          <w:sz w:val="28"/>
          <w:szCs w:val="28"/>
          <w:rtl/>
        </w:rPr>
        <w:t xml:space="preserve">, סכומים בסך כולל 1,130,349 ₪ וגם סך 206,271 </w:t>
      </w:r>
      <w:r w:rsidR="00E45095" w:rsidRPr="0011019E">
        <w:rPr>
          <w:rFonts w:ascii="FrankRuehl" w:hAnsi="FrankRuehl" w:cs="FrankRuehl" w:hint="cs"/>
          <w:sz w:val="28"/>
          <w:szCs w:val="28"/>
          <w:rtl/>
        </w:rPr>
        <w:t xml:space="preserve">₪ </w:t>
      </w:r>
      <w:r w:rsidRPr="0011019E">
        <w:rPr>
          <w:rFonts w:ascii="FrankRuehl" w:hAnsi="FrankRuehl" w:cs="FrankRuehl"/>
          <w:sz w:val="28"/>
          <w:szCs w:val="28"/>
          <w:rtl/>
        </w:rPr>
        <w:t>שהועבר מנתבע 2. יש להוסיף סכומים אלו לחלוקה.</w:t>
      </w:r>
    </w:p>
    <w:p w:rsidR="00765BA7" w:rsidRDefault="00765BA7" w:rsidP="00765BA7">
      <w:pPr>
        <w:spacing w:line="360" w:lineRule="auto"/>
        <w:jc w:val="both"/>
        <w:rPr>
          <w:rFonts w:ascii="FrankRuehl" w:hAnsi="FrankRuehl" w:cs="FrankRuehl"/>
          <w:sz w:val="28"/>
          <w:szCs w:val="28"/>
          <w:rtl/>
        </w:rPr>
      </w:pPr>
    </w:p>
    <w:p w:rsidR="00573E92" w:rsidRDefault="00573E92" w:rsidP="00765BA7">
      <w:pPr>
        <w:spacing w:line="360" w:lineRule="auto"/>
        <w:jc w:val="both"/>
        <w:rPr>
          <w:rFonts w:ascii="FrankRuehl" w:hAnsi="FrankRuehl" w:cs="FrankRuehl"/>
          <w:sz w:val="28"/>
          <w:szCs w:val="28"/>
          <w:rtl/>
        </w:rPr>
      </w:pPr>
    </w:p>
    <w:p w:rsidR="00573E92" w:rsidRDefault="00573E92" w:rsidP="00765BA7">
      <w:pPr>
        <w:spacing w:line="360" w:lineRule="auto"/>
        <w:jc w:val="both"/>
        <w:rPr>
          <w:rFonts w:ascii="FrankRuehl" w:hAnsi="FrankRuehl" w:cs="FrankRuehl"/>
          <w:sz w:val="28"/>
          <w:szCs w:val="28"/>
          <w:rtl/>
        </w:rPr>
      </w:pPr>
    </w:p>
    <w:p w:rsidR="0011019E" w:rsidRDefault="00765BA7" w:rsidP="00E45095">
      <w:pPr>
        <w:spacing w:line="360" w:lineRule="auto"/>
        <w:ind w:left="720" w:hanging="720"/>
        <w:jc w:val="both"/>
        <w:rPr>
          <w:rFonts w:ascii="FrankRuehl" w:hAnsi="FrankRuehl" w:cs="FrankRuehl"/>
          <w:b/>
          <w:bCs/>
          <w:sz w:val="28"/>
          <w:szCs w:val="28"/>
          <w:rtl/>
        </w:rPr>
      </w:pPr>
      <w:r>
        <w:rPr>
          <w:rFonts w:ascii="FrankRuehl" w:hAnsi="FrankRuehl" w:cs="FrankRuehl"/>
          <w:sz w:val="28"/>
          <w:szCs w:val="28"/>
          <w:rtl/>
        </w:rPr>
        <w:t>35</w:t>
      </w:r>
      <w:r>
        <w:rPr>
          <w:rFonts w:ascii="FrankRuehl" w:hAnsi="FrankRuehl" w:cs="FrankRuehl"/>
          <w:b/>
          <w:bCs/>
          <w:sz w:val="28"/>
          <w:szCs w:val="28"/>
          <w:rtl/>
        </w:rPr>
        <w:t>.</w:t>
      </w:r>
      <w:r>
        <w:rPr>
          <w:rFonts w:ascii="FrankRuehl" w:hAnsi="FrankRuehl" w:cs="FrankRuehl"/>
          <w:b/>
          <w:bCs/>
          <w:sz w:val="28"/>
          <w:szCs w:val="28"/>
          <w:rtl/>
        </w:rPr>
        <w:tab/>
        <w:t>סה"כ הועבר מחשבונות העִזבון סך</w:t>
      </w:r>
      <w:r w:rsidR="00E45095">
        <w:rPr>
          <w:rFonts w:ascii="FrankRuehl" w:hAnsi="FrankRuehl" w:cs="FrankRuehl" w:hint="cs"/>
          <w:b/>
          <w:bCs/>
          <w:sz w:val="28"/>
          <w:szCs w:val="28"/>
          <w:rtl/>
        </w:rPr>
        <w:t xml:space="preserve"> 5,927,532 ₪</w:t>
      </w:r>
      <w:r w:rsidR="0011019E">
        <w:rPr>
          <w:rFonts w:ascii="FrankRuehl" w:hAnsi="FrankRuehl" w:cs="FrankRuehl" w:hint="cs"/>
          <w:b/>
          <w:bCs/>
          <w:sz w:val="28"/>
          <w:szCs w:val="28"/>
          <w:rtl/>
        </w:rPr>
        <w:t>.</w:t>
      </w:r>
    </w:p>
    <w:p w:rsidR="0011019E" w:rsidRDefault="0011019E" w:rsidP="00E45095">
      <w:pPr>
        <w:spacing w:line="360" w:lineRule="auto"/>
        <w:ind w:left="720" w:hanging="720"/>
        <w:jc w:val="both"/>
        <w:rPr>
          <w:rFonts w:ascii="FrankRuehl" w:hAnsi="FrankRuehl" w:cs="FrankRuehl"/>
          <w:b/>
          <w:bCs/>
          <w:sz w:val="28"/>
          <w:szCs w:val="28"/>
          <w:rtl/>
        </w:rPr>
      </w:pPr>
    </w:p>
    <w:p w:rsidR="00765BA7" w:rsidRDefault="0011019E" w:rsidP="00E45095">
      <w:pPr>
        <w:spacing w:line="360" w:lineRule="auto"/>
        <w:ind w:left="720" w:hanging="720"/>
        <w:jc w:val="both"/>
        <w:rPr>
          <w:rFonts w:ascii="FrankRuehl" w:hAnsi="FrankRuehl" w:cs="FrankRuehl"/>
          <w:b/>
          <w:bCs/>
          <w:sz w:val="28"/>
          <w:szCs w:val="28"/>
          <w:rtl/>
        </w:rPr>
      </w:pPr>
      <w:r w:rsidRPr="0011019E">
        <w:rPr>
          <w:rFonts w:ascii="FrankRuehl" w:hAnsi="FrankRuehl" w:cs="FrankRuehl" w:hint="cs"/>
          <w:sz w:val="28"/>
          <w:szCs w:val="28"/>
          <w:rtl/>
        </w:rPr>
        <w:lastRenderedPageBreak/>
        <w:t>36.</w:t>
      </w:r>
      <w:r w:rsidRPr="0011019E">
        <w:rPr>
          <w:rFonts w:ascii="FrankRuehl" w:hAnsi="FrankRuehl" w:cs="FrankRuehl" w:hint="cs"/>
          <w:sz w:val="28"/>
          <w:szCs w:val="28"/>
          <w:rtl/>
        </w:rPr>
        <w:tab/>
      </w:r>
      <w:r w:rsidR="00765BA7">
        <w:rPr>
          <w:rFonts w:ascii="FrankRuehl" w:hAnsi="FrankRuehl" w:cs="FrankRuehl"/>
          <w:b/>
          <w:bCs/>
          <w:sz w:val="28"/>
          <w:szCs w:val="28"/>
          <w:rtl/>
        </w:rPr>
        <w:t xml:space="preserve">שיעור חלקו של כל אחד מהיורשים הוא 1/3, היְינו סך </w:t>
      </w:r>
      <w:r w:rsidR="00E45095">
        <w:rPr>
          <w:rFonts w:ascii="FrankRuehl" w:hAnsi="FrankRuehl" w:cs="FrankRuehl" w:hint="cs"/>
          <w:b/>
          <w:bCs/>
          <w:sz w:val="28"/>
          <w:szCs w:val="28"/>
          <w:rtl/>
        </w:rPr>
        <w:t>1,975,844</w:t>
      </w:r>
      <w:r w:rsidR="00E45095">
        <w:rPr>
          <w:rFonts w:ascii="FrankRuehl" w:hAnsi="FrankRuehl" w:cs="FrankRuehl"/>
          <w:b/>
          <w:bCs/>
          <w:sz w:val="28"/>
          <w:szCs w:val="28"/>
          <w:rtl/>
        </w:rPr>
        <w:t xml:space="preserve"> ₪.</w:t>
      </w:r>
      <w:r w:rsidR="00E45095">
        <w:rPr>
          <w:rFonts w:ascii="FrankRuehl" w:hAnsi="FrankRuehl" w:cs="FrankRuehl" w:hint="cs"/>
          <w:b/>
          <w:bCs/>
          <w:sz w:val="28"/>
          <w:szCs w:val="28"/>
          <w:rtl/>
        </w:rPr>
        <w:t xml:space="preserve"> </w:t>
      </w:r>
      <w:r w:rsidR="00765BA7">
        <w:rPr>
          <w:rFonts w:ascii="FrankRuehl" w:hAnsi="FrankRuehl" w:cs="FrankRuehl"/>
          <w:b/>
          <w:bCs/>
          <w:sz w:val="28"/>
          <w:szCs w:val="28"/>
          <w:rtl/>
        </w:rPr>
        <w:t>מכאן, יתרת חלקו של התובע היא ההפרש בין החלק שאמור היה לקבל (</w:t>
      </w:r>
      <w:r w:rsidR="00E45095">
        <w:rPr>
          <w:rFonts w:ascii="FrankRuehl" w:hAnsi="FrankRuehl" w:cs="FrankRuehl" w:hint="cs"/>
          <w:b/>
          <w:bCs/>
          <w:sz w:val="28"/>
          <w:szCs w:val="28"/>
          <w:rtl/>
        </w:rPr>
        <w:t>1,975,844 ₪) ו</w:t>
      </w:r>
      <w:r w:rsidR="00765BA7">
        <w:rPr>
          <w:rFonts w:ascii="FrankRuehl" w:hAnsi="FrankRuehl" w:cs="FrankRuehl"/>
          <w:b/>
          <w:bCs/>
          <w:sz w:val="28"/>
          <w:szCs w:val="28"/>
          <w:rtl/>
        </w:rPr>
        <w:t xml:space="preserve">בין מה שקיבל </w:t>
      </w:r>
      <w:r w:rsidR="00765BA7" w:rsidRPr="00E45095">
        <w:rPr>
          <w:rFonts w:ascii="FrankRuehl" w:hAnsi="FrankRuehl" w:cs="FrankRuehl"/>
          <w:b/>
          <w:bCs/>
          <w:sz w:val="28"/>
          <w:szCs w:val="28"/>
          <w:rtl/>
        </w:rPr>
        <w:t xml:space="preserve">בפועל (1,336,620 </w:t>
      </w:r>
      <w:r w:rsidR="00E45095" w:rsidRPr="00E45095">
        <w:rPr>
          <w:rFonts w:ascii="FrankRuehl" w:hAnsi="FrankRuehl" w:cs="FrankRuehl" w:hint="cs"/>
          <w:b/>
          <w:bCs/>
          <w:sz w:val="28"/>
          <w:szCs w:val="28"/>
          <w:rtl/>
        </w:rPr>
        <w:t>₪</w:t>
      </w:r>
      <w:r w:rsidR="00765BA7" w:rsidRPr="00E45095">
        <w:rPr>
          <w:rFonts w:ascii="FrankRuehl" w:hAnsi="FrankRuehl" w:cs="FrankRuehl"/>
          <w:b/>
          <w:bCs/>
          <w:sz w:val="28"/>
          <w:szCs w:val="28"/>
          <w:rtl/>
        </w:rPr>
        <w:t xml:space="preserve">), </w:t>
      </w:r>
      <w:r w:rsidR="00765BA7" w:rsidRPr="007E272D">
        <w:rPr>
          <w:rFonts w:ascii="FrankRuehl" w:hAnsi="FrankRuehl" w:cs="FrankRuehl"/>
          <w:b/>
          <w:bCs/>
          <w:sz w:val="28"/>
          <w:szCs w:val="28"/>
          <w:u w:val="single"/>
          <w:rtl/>
        </w:rPr>
        <w:t xml:space="preserve">היְינו סך </w:t>
      </w:r>
      <w:r w:rsidR="00E45095" w:rsidRPr="007E272D">
        <w:rPr>
          <w:rFonts w:ascii="FrankRuehl" w:hAnsi="FrankRuehl" w:cs="FrankRuehl" w:hint="cs"/>
          <w:b/>
          <w:bCs/>
          <w:sz w:val="28"/>
          <w:szCs w:val="28"/>
          <w:u w:val="single"/>
          <w:rtl/>
        </w:rPr>
        <w:t>639,224 ₪</w:t>
      </w:r>
      <w:r w:rsidR="00765BA7" w:rsidRPr="007E272D">
        <w:rPr>
          <w:rFonts w:ascii="FrankRuehl" w:hAnsi="FrankRuehl" w:cs="FrankRuehl"/>
          <w:b/>
          <w:bCs/>
          <w:sz w:val="28"/>
          <w:szCs w:val="28"/>
          <w:u w:val="single"/>
          <w:rtl/>
        </w:rPr>
        <w:t>.</w:t>
      </w:r>
    </w:p>
    <w:p w:rsidR="00765BA7" w:rsidRDefault="00765BA7" w:rsidP="00765BA7">
      <w:pPr>
        <w:spacing w:line="360" w:lineRule="auto"/>
        <w:jc w:val="both"/>
        <w:rPr>
          <w:rFonts w:ascii="FrankRuehl" w:hAnsi="FrankRuehl" w:cs="FrankRuehl"/>
          <w:sz w:val="28"/>
          <w:szCs w:val="28"/>
          <w:rtl/>
        </w:rPr>
      </w:pPr>
    </w:p>
    <w:p w:rsidR="00765BA7" w:rsidRPr="0011019E" w:rsidRDefault="00765BA7" w:rsidP="0011019E">
      <w:pPr>
        <w:spacing w:line="360" w:lineRule="auto"/>
        <w:ind w:left="720"/>
        <w:jc w:val="both"/>
        <w:rPr>
          <w:rFonts w:ascii="FrankRuehl" w:hAnsi="FrankRuehl" w:cs="FrankRuehl"/>
          <w:b/>
          <w:bCs/>
          <w:sz w:val="28"/>
          <w:szCs w:val="28"/>
          <w:rtl/>
        </w:rPr>
      </w:pPr>
      <w:r w:rsidRPr="0011019E">
        <w:rPr>
          <w:rFonts w:ascii="FrankRuehl" w:hAnsi="FrankRuehl" w:cs="FrankRuehl"/>
          <w:b/>
          <w:bCs/>
          <w:sz w:val="28"/>
          <w:szCs w:val="28"/>
          <w:rtl/>
        </w:rPr>
        <w:t>מאחר ו</w:t>
      </w:r>
      <w:r w:rsidR="007E272D" w:rsidRPr="0011019E">
        <w:rPr>
          <w:rFonts w:ascii="FrankRuehl" w:hAnsi="FrankRuehl" w:cs="FrankRuehl" w:hint="cs"/>
          <w:b/>
          <w:bCs/>
          <w:sz w:val="28"/>
          <w:szCs w:val="28"/>
          <w:rtl/>
        </w:rPr>
        <w:t>בידי נתבע 2 סך 1,918,574 ₪ שהוא נמוך מסכום חלקו (1,975,844 ₪) הרי שהחיוב כולו חל כלפי נתבע 1.</w:t>
      </w:r>
    </w:p>
    <w:p w:rsidR="00765BA7" w:rsidRDefault="00765BA7" w:rsidP="00765BA7">
      <w:pPr>
        <w:spacing w:line="360" w:lineRule="auto"/>
        <w:jc w:val="both"/>
        <w:rPr>
          <w:rFonts w:ascii="FrankRuehl" w:hAnsi="FrankRuehl" w:cs="FrankRuehl"/>
          <w:sz w:val="28"/>
          <w:szCs w:val="28"/>
          <w:rtl/>
        </w:rPr>
      </w:pPr>
    </w:p>
    <w:p w:rsidR="0003710B" w:rsidRDefault="00765BA7" w:rsidP="0003710B">
      <w:pPr>
        <w:spacing w:line="360" w:lineRule="auto"/>
        <w:ind w:left="720" w:hanging="720"/>
        <w:jc w:val="both"/>
        <w:rPr>
          <w:rFonts w:ascii="FrankRuehl" w:hAnsi="FrankRuehl" w:cs="FrankRuehl"/>
          <w:sz w:val="28"/>
          <w:szCs w:val="28"/>
          <w:rtl/>
        </w:rPr>
      </w:pPr>
      <w:r>
        <w:rPr>
          <w:rFonts w:ascii="FrankRuehl" w:hAnsi="FrankRuehl" w:cs="FrankRuehl"/>
          <w:sz w:val="28"/>
          <w:szCs w:val="28"/>
          <w:rtl/>
        </w:rPr>
        <w:t>37.</w:t>
      </w:r>
      <w:r>
        <w:rPr>
          <w:rFonts w:ascii="FrankRuehl" w:hAnsi="FrankRuehl" w:cs="FrankRuehl"/>
          <w:sz w:val="28"/>
          <w:szCs w:val="28"/>
          <w:rtl/>
        </w:rPr>
        <w:tab/>
      </w:r>
      <w:r>
        <w:rPr>
          <w:rFonts w:ascii="FrankRuehl" w:hAnsi="FrankRuehl" w:cs="FrankRuehl"/>
          <w:b/>
          <w:bCs/>
          <w:sz w:val="28"/>
          <w:szCs w:val="28"/>
          <w:u w:val="single"/>
          <w:rtl/>
        </w:rPr>
        <w:t>אשר לטענות כי יש לקזז מסכומים</w:t>
      </w:r>
      <w:r>
        <w:rPr>
          <w:rFonts w:ascii="FrankRuehl" w:hAnsi="FrankRuehl" w:cs="FrankRuehl"/>
          <w:sz w:val="28"/>
          <w:szCs w:val="28"/>
          <w:rtl/>
        </w:rPr>
        <w:t xml:space="preserve"> שייפסקו לתובע בגין החזר הלוואה שיקבל מהאב המנוח וטרם השיב לעִזבון </w:t>
      </w:r>
      <w:r>
        <w:rPr>
          <w:rFonts w:ascii="FrankRuehl" w:hAnsi="FrankRuehl" w:cs="FrankRuehl"/>
          <w:b/>
          <w:bCs/>
          <w:sz w:val="28"/>
          <w:szCs w:val="28"/>
          <w:u w:val="single"/>
          <w:rtl/>
        </w:rPr>
        <w:t>או טענות נתבע 1 כי יש לחייב את התובע להשיב לעִזבון מחצית מרכוש האב בארה"ב</w:t>
      </w:r>
      <w:r>
        <w:rPr>
          <w:rFonts w:ascii="FrankRuehl" w:hAnsi="FrankRuehl" w:cs="FrankRuehl"/>
          <w:sz w:val="28"/>
          <w:szCs w:val="28"/>
          <w:rtl/>
        </w:rPr>
        <w:t>,</w:t>
      </w:r>
      <w:r>
        <w:rPr>
          <w:rFonts w:ascii="FrankRuehl" w:hAnsi="FrankRuehl" w:cs="FrankRuehl"/>
          <w:b/>
          <w:bCs/>
          <w:sz w:val="28"/>
          <w:szCs w:val="28"/>
          <w:rtl/>
        </w:rPr>
        <w:t xml:space="preserve"> </w:t>
      </w:r>
      <w:r>
        <w:rPr>
          <w:rFonts w:ascii="FrankRuehl" w:hAnsi="FrankRuehl" w:cs="FrankRuehl"/>
          <w:sz w:val="28"/>
          <w:szCs w:val="28"/>
          <w:rtl/>
        </w:rPr>
        <w:t xml:space="preserve">טענות אלו דינן דחייה. </w:t>
      </w:r>
    </w:p>
    <w:p w:rsidR="0003710B" w:rsidRDefault="0003710B" w:rsidP="0003710B">
      <w:pPr>
        <w:spacing w:line="360" w:lineRule="auto"/>
        <w:ind w:left="720" w:hanging="720"/>
        <w:jc w:val="both"/>
        <w:rPr>
          <w:rFonts w:ascii="FrankRuehl" w:hAnsi="FrankRuehl" w:cs="FrankRuehl"/>
          <w:sz w:val="28"/>
          <w:szCs w:val="28"/>
          <w:rtl/>
        </w:rPr>
      </w:pPr>
    </w:p>
    <w:p w:rsidR="00765BA7" w:rsidRDefault="00765BA7" w:rsidP="0003710B">
      <w:pPr>
        <w:spacing w:line="360" w:lineRule="auto"/>
        <w:ind w:left="720"/>
        <w:jc w:val="both"/>
        <w:rPr>
          <w:rFonts w:ascii="FrankRuehl" w:hAnsi="FrankRuehl" w:cs="FrankRuehl"/>
          <w:sz w:val="28"/>
          <w:szCs w:val="28"/>
          <w:rtl/>
        </w:rPr>
      </w:pPr>
      <w:r w:rsidRPr="0003710B">
        <w:rPr>
          <w:rFonts w:ascii="FrankRuehl" w:hAnsi="FrankRuehl" w:cs="FrankRuehl"/>
          <w:sz w:val="28"/>
          <w:szCs w:val="28"/>
          <w:u w:val="single"/>
          <w:rtl/>
        </w:rPr>
        <w:t>אשר לקיזוז</w:t>
      </w:r>
      <w:r>
        <w:rPr>
          <w:rFonts w:ascii="FrankRuehl" w:hAnsi="FrankRuehl" w:cs="FrankRuehl"/>
          <w:sz w:val="28"/>
          <w:szCs w:val="28"/>
          <w:rtl/>
        </w:rPr>
        <w:t xml:space="preserve">, גם בעניין זה מדובר בטענה שלא נטענה בכתב ההגנה המקורי שהוגש מטעם שני הנתבעים בעת שהיו מיוצגים על ידי ב"כ אחד והיא הוספה לאחר הפרדת הייצוג ותיקון כתב ההגנה. נתבע 2 לא ידע להסביר מדוע הטענה לא נטענה, והשיב לכך באופן מתחמק. ראו עדותו בעמוד 73 שורות 17-39 </w:t>
      </w:r>
      <w:r w:rsidR="0003710B">
        <w:rPr>
          <w:rFonts w:ascii="FrankRuehl" w:hAnsi="FrankRuehl" w:cs="FrankRuehl" w:hint="cs"/>
          <w:sz w:val="28"/>
          <w:szCs w:val="28"/>
          <w:rtl/>
        </w:rPr>
        <w:t>לפרוטוקול המתומלל</w:t>
      </w:r>
      <w:r>
        <w:rPr>
          <w:rFonts w:ascii="FrankRuehl" w:hAnsi="FrankRuehl" w:cs="FrankRuehl"/>
          <w:sz w:val="28"/>
          <w:szCs w:val="28"/>
          <w:rtl/>
        </w:rPr>
        <w:t>.</w:t>
      </w:r>
    </w:p>
    <w:p w:rsidR="00765BA7" w:rsidRDefault="00765BA7" w:rsidP="00765BA7">
      <w:pPr>
        <w:spacing w:line="360" w:lineRule="auto"/>
        <w:jc w:val="both"/>
        <w:rPr>
          <w:rFonts w:ascii="FrankRuehl" w:hAnsi="FrankRuehl" w:cs="FrankRuehl"/>
          <w:sz w:val="28"/>
          <w:szCs w:val="28"/>
          <w:rtl/>
        </w:rPr>
      </w:pPr>
    </w:p>
    <w:p w:rsidR="00765BA7" w:rsidRDefault="00765BA7" w:rsidP="00765BA7">
      <w:pPr>
        <w:spacing w:line="360" w:lineRule="auto"/>
        <w:ind w:left="720"/>
        <w:jc w:val="both"/>
        <w:rPr>
          <w:rFonts w:ascii="FrankRuehl" w:hAnsi="FrankRuehl" w:cs="FrankRuehl"/>
          <w:sz w:val="28"/>
          <w:szCs w:val="28"/>
          <w:rtl/>
        </w:rPr>
      </w:pPr>
      <w:r w:rsidRPr="0003710B">
        <w:rPr>
          <w:rFonts w:ascii="FrankRuehl" w:hAnsi="FrankRuehl" w:cs="FrankRuehl"/>
          <w:sz w:val="28"/>
          <w:szCs w:val="28"/>
          <w:u w:val="single"/>
          <w:rtl/>
        </w:rPr>
        <w:t>אשר לשאלת הבעלות במחצית הרכוש</w:t>
      </w:r>
      <w:r>
        <w:rPr>
          <w:rFonts w:ascii="FrankRuehl" w:hAnsi="FrankRuehl" w:cs="FrankRuehl"/>
          <w:sz w:val="28"/>
          <w:szCs w:val="28"/>
          <w:rtl/>
        </w:rPr>
        <w:t>, משדחיתי טענת הנתבעים להחלת הִלכת השיתוף, הרי שהאֵם המנוחה לא הייתה בעלים של מחצית הרכוש הנ"ל.</w:t>
      </w:r>
    </w:p>
    <w:p w:rsidR="00765BA7" w:rsidRDefault="00765BA7" w:rsidP="00765BA7">
      <w:pPr>
        <w:spacing w:line="360" w:lineRule="auto"/>
        <w:jc w:val="both"/>
        <w:rPr>
          <w:rFonts w:ascii="FrankRuehl" w:hAnsi="FrankRuehl" w:cs="FrankRuehl"/>
          <w:sz w:val="28"/>
          <w:szCs w:val="28"/>
          <w:rtl/>
        </w:rPr>
      </w:pPr>
    </w:p>
    <w:p w:rsidR="00765BA7" w:rsidRDefault="00765BA7" w:rsidP="00765BA7">
      <w:pPr>
        <w:spacing w:line="360" w:lineRule="auto"/>
        <w:ind w:left="720"/>
        <w:jc w:val="both"/>
        <w:rPr>
          <w:rFonts w:ascii="FrankRuehl" w:hAnsi="FrankRuehl" w:cs="FrankRuehl"/>
          <w:sz w:val="28"/>
          <w:szCs w:val="28"/>
          <w:rtl/>
        </w:rPr>
      </w:pPr>
      <w:r>
        <w:rPr>
          <w:rFonts w:ascii="FrankRuehl" w:hAnsi="FrankRuehl" w:cs="FrankRuehl"/>
          <w:sz w:val="28"/>
          <w:szCs w:val="28"/>
          <w:rtl/>
        </w:rPr>
        <w:t>זאת ועוד, מקובלת עלי בהקשר זה טענת התובע כי מעת שהעביר על שם האב המנוח את המקרקעין שנרכשו בכספי אותה הלוואה, כפי פסה"ד שניתן בארה"ב, הרי שיש לראותו כמי שפרע את ההלוואה (וזאת מבלי להידרש לשאלת ההתיישנות), בהינתן שההלוואה ניתנה בשנות ה-90 ולא נטען מועד השבתה. ראו את פסה"ד בעניין זה שצורף להודעה שהוגשה ביום 02.01.2022 וגם מסמכי העברת הזכויות מהתובע וגרושתו לאב המנוח אשר צורפו כנספח 3 לתצהיר התובע, מסמכים שנערכו עוד בשנת 1997.</w:t>
      </w:r>
    </w:p>
    <w:p w:rsidR="00765BA7" w:rsidRDefault="00765BA7" w:rsidP="00765BA7">
      <w:pPr>
        <w:spacing w:line="360" w:lineRule="auto"/>
        <w:jc w:val="both"/>
        <w:rPr>
          <w:rFonts w:ascii="FrankRuehl" w:hAnsi="FrankRuehl" w:cs="FrankRuehl"/>
          <w:sz w:val="28"/>
          <w:szCs w:val="28"/>
          <w:rtl/>
        </w:rPr>
      </w:pPr>
    </w:p>
    <w:p w:rsidR="00765BA7" w:rsidRDefault="00765BA7" w:rsidP="000E525F">
      <w:pPr>
        <w:spacing w:line="360" w:lineRule="auto"/>
        <w:ind w:left="720" w:hanging="720"/>
        <w:jc w:val="both"/>
        <w:rPr>
          <w:rFonts w:ascii="FrankRuehl" w:hAnsi="FrankRuehl" w:cs="FrankRuehl"/>
          <w:b/>
          <w:bCs/>
          <w:sz w:val="28"/>
          <w:szCs w:val="28"/>
          <w:rtl/>
        </w:rPr>
      </w:pPr>
      <w:r>
        <w:rPr>
          <w:rFonts w:ascii="FrankRuehl" w:hAnsi="FrankRuehl" w:cs="FrankRuehl"/>
          <w:sz w:val="28"/>
          <w:szCs w:val="28"/>
          <w:rtl/>
        </w:rPr>
        <w:t>38.</w:t>
      </w:r>
      <w:r>
        <w:rPr>
          <w:rFonts w:ascii="FrankRuehl" w:hAnsi="FrankRuehl" w:cs="FrankRuehl"/>
          <w:sz w:val="28"/>
          <w:szCs w:val="28"/>
          <w:rtl/>
        </w:rPr>
        <w:tab/>
        <w:t>אשר על כן, אני מקבלת את התביעה בתמ"ש 66680-09-16</w:t>
      </w:r>
      <w:r w:rsidR="000E525F">
        <w:rPr>
          <w:rFonts w:ascii="FrankRuehl" w:hAnsi="FrankRuehl" w:cs="FrankRuehl" w:hint="cs"/>
          <w:sz w:val="28"/>
          <w:szCs w:val="28"/>
          <w:rtl/>
        </w:rPr>
        <w:t xml:space="preserve"> כלפי נתבע 1 </w:t>
      </w:r>
      <w:r>
        <w:rPr>
          <w:rFonts w:ascii="FrankRuehl" w:hAnsi="FrankRuehl" w:cs="FrankRuehl"/>
          <w:sz w:val="28"/>
          <w:szCs w:val="28"/>
          <w:rtl/>
        </w:rPr>
        <w:t>וד</w:t>
      </w:r>
      <w:r w:rsidR="000E525F">
        <w:rPr>
          <w:rFonts w:ascii="FrankRuehl" w:hAnsi="FrankRuehl" w:cs="FrankRuehl"/>
          <w:sz w:val="28"/>
          <w:szCs w:val="28"/>
          <w:rtl/>
        </w:rPr>
        <w:t>וחה את התביעה בתמ"ש 47895-06-18</w:t>
      </w:r>
      <w:r w:rsidR="000E525F">
        <w:rPr>
          <w:rFonts w:ascii="FrankRuehl" w:hAnsi="FrankRuehl" w:cs="FrankRuehl" w:hint="cs"/>
          <w:sz w:val="28"/>
          <w:szCs w:val="28"/>
          <w:rtl/>
        </w:rPr>
        <w:t xml:space="preserve">. אני מחייבת את נתבע 1 </w:t>
      </w:r>
      <w:r>
        <w:rPr>
          <w:rFonts w:ascii="FrankRuehl" w:hAnsi="FrankRuehl" w:cs="FrankRuehl"/>
          <w:sz w:val="28"/>
          <w:szCs w:val="28"/>
          <w:rtl/>
        </w:rPr>
        <w:t>לשלם לתובע</w:t>
      </w:r>
      <w:r w:rsidR="000E525F">
        <w:rPr>
          <w:rFonts w:ascii="FrankRuehl" w:hAnsi="FrankRuehl" w:cs="FrankRuehl" w:hint="cs"/>
          <w:sz w:val="28"/>
          <w:szCs w:val="28"/>
          <w:rtl/>
        </w:rPr>
        <w:t xml:space="preserve"> </w:t>
      </w:r>
      <w:r w:rsidR="000E525F" w:rsidRPr="000E525F">
        <w:rPr>
          <w:rFonts w:ascii="FrankRuehl" w:hAnsi="FrankRuehl" w:cs="FrankRuehl"/>
          <w:b/>
          <w:bCs/>
          <w:sz w:val="28"/>
          <w:szCs w:val="28"/>
          <w:rtl/>
        </w:rPr>
        <w:t xml:space="preserve">סך </w:t>
      </w:r>
      <w:r w:rsidR="000E525F" w:rsidRPr="000E525F">
        <w:rPr>
          <w:rFonts w:ascii="FrankRuehl" w:hAnsi="FrankRuehl" w:cs="FrankRuehl" w:hint="cs"/>
          <w:b/>
          <w:bCs/>
          <w:sz w:val="28"/>
          <w:szCs w:val="28"/>
          <w:rtl/>
        </w:rPr>
        <w:t>639,224 ₪</w:t>
      </w:r>
      <w:r w:rsidR="000E525F">
        <w:rPr>
          <w:rFonts w:ascii="FrankRuehl" w:hAnsi="FrankRuehl" w:cs="FrankRuehl" w:hint="cs"/>
          <w:b/>
          <w:bCs/>
          <w:sz w:val="28"/>
          <w:szCs w:val="28"/>
          <w:rtl/>
        </w:rPr>
        <w:t xml:space="preserve"> </w:t>
      </w:r>
      <w:r>
        <w:rPr>
          <w:rFonts w:ascii="FrankRuehl" w:hAnsi="FrankRuehl" w:cs="FrankRuehl"/>
          <w:b/>
          <w:bCs/>
          <w:sz w:val="28"/>
          <w:szCs w:val="28"/>
          <w:rtl/>
        </w:rPr>
        <w:t>נכון למועד הגשת התביעה.</w:t>
      </w:r>
    </w:p>
    <w:p w:rsidR="00765BA7" w:rsidRDefault="00765BA7" w:rsidP="00765BA7">
      <w:pPr>
        <w:spacing w:line="360" w:lineRule="auto"/>
        <w:jc w:val="both"/>
        <w:rPr>
          <w:rFonts w:ascii="FrankRuehl" w:hAnsi="FrankRuehl" w:cs="FrankRuehl"/>
          <w:sz w:val="28"/>
          <w:szCs w:val="28"/>
          <w:rtl/>
        </w:rPr>
      </w:pPr>
      <w:r>
        <w:rPr>
          <w:rFonts w:ascii="FrankRuehl" w:hAnsi="FrankRuehl" w:cs="FrankRuehl"/>
          <w:b/>
          <w:bCs/>
          <w:sz w:val="28"/>
          <w:szCs w:val="28"/>
          <w:rtl/>
        </w:rPr>
        <w:lastRenderedPageBreak/>
        <w:tab/>
      </w:r>
    </w:p>
    <w:p w:rsidR="00617B73" w:rsidRDefault="00765BA7" w:rsidP="000E525F">
      <w:pPr>
        <w:spacing w:line="360" w:lineRule="auto"/>
        <w:ind w:left="720" w:hanging="720"/>
        <w:jc w:val="both"/>
        <w:rPr>
          <w:rFonts w:ascii="FrankRuehl" w:hAnsi="FrankRuehl" w:cs="FrankRuehl"/>
          <w:sz w:val="28"/>
          <w:szCs w:val="28"/>
          <w:rtl/>
        </w:rPr>
      </w:pPr>
      <w:r>
        <w:rPr>
          <w:rFonts w:ascii="FrankRuehl" w:hAnsi="FrankRuehl" w:cs="FrankRuehl"/>
          <w:sz w:val="28"/>
          <w:szCs w:val="28"/>
          <w:rtl/>
        </w:rPr>
        <w:t>39.</w:t>
      </w:r>
      <w:r>
        <w:rPr>
          <w:rFonts w:ascii="FrankRuehl" w:hAnsi="FrankRuehl" w:cs="FrankRuehl"/>
          <w:sz w:val="28"/>
          <w:szCs w:val="28"/>
          <w:rtl/>
        </w:rPr>
        <w:tab/>
        <w:t>אשר להוצאות, מקובלת עלי טענת התובע בסיכומיו כי התנהלות הנתבעים האריכה את ההליך, גרמה לכך שהתקיימו מספר רב של קדמי משפט וכי לא נחשפו על ידם מסמכים או לא היה שיתוף פעולה מצידם בעיון במסמכים שנדרשו. כך גם ביחס לחשבון הבנק השלישי אשר לא גולה. מנגד, התובע בתביעתו לא פירט את הסכ</w:t>
      </w:r>
      <w:r w:rsidR="000E525F">
        <w:rPr>
          <w:rFonts w:ascii="FrankRuehl" w:hAnsi="FrankRuehl" w:cs="FrankRuehl"/>
          <w:sz w:val="28"/>
          <w:szCs w:val="28"/>
          <w:rtl/>
        </w:rPr>
        <w:t>ומים שקיבל מחשבונות האֵם המנוחה</w:t>
      </w:r>
      <w:r w:rsidR="000E525F">
        <w:rPr>
          <w:rFonts w:ascii="FrankRuehl" w:hAnsi="FrankRuehl" w:cs="FrankRuehl" w:hint="cs"/>
          <w:sz w:val="28"/>
          <w:szCs w:val="28"/>
          <w:rtl/>
        </w:rPr>
        <w:t xml:space="preserve"> ותביעתו כנגד נתבע 2 נדחתה.</w:t>
      </w:r>
      <w:r>
        <w:rPr>
          <w:rFonts w:ascii="FrankRuehl" w:hAnsi="FrankRuehl" w:cs="FrankRuehl"/>
          <w:sz w:val="28"/>
          <w:szCs w:val="28"/>
          <w:rtl/>
        </w:rPr>
        <w:t xml:space="preserve"> </w:t>
      </w:r>
    </w:p>
    <w:p w:rsidR="00617B73" w:rsidRDefault="00617B73" w:rsidP="000E525F">
      <w:pPr>
        <w:spacing w:line="360" w:lineRule="auto"/>
        <w:ind w:left="720" w:hanging="720"/>
        <w:jc w:val="both"/>
        <w:rPr>
          <w:rFonts w:ascii="FrankRuehl" w:hAnsi="FrankRuehl" w:cs="FrankRuehl"/>
          <w:sz w:val="28"/>
          <w:szCs w:val="28"/>
          <w:rtl/>
        </w:rPr>
      </w:pPr>
    </w:p>
    <w:p w:rsidR="00765BA7" w:rsidRDefault="00765BA7" w:rsidP="00617B73">
      <w:pPr>
        <w:spacing w:line="360" w:lineRule="auto"/>
        <w:ind w:left="720"/>
        <w:jc w:val="both"/>
        <w:rPr>
          <w:rFonts w:ascii="FrankRuehl" w:hAnsi="FrankRuehl" w:cs="FrankRuehl"/>
          <w:b/>
          <w:bCs/>
          <w:sz w:val="28"/>
          <w:szCs w:val="28"/>
          <w:rtl/>
        </w:rPr>
      </w:pPr>
      <w:r>
        <w:rPr>
          <w:rFonts w:ascii="FrankRuehl" w:hAnsi="FrankRuehl" w:cs="FrankRuehl"/>
          <w:sz w:val="28"/>
          <w:szCs w:val="28"/>
          <w:rtl/>
        </w:rPr>
        <w:t>באיזון בין הדברים, ובשים לב לסכום שנפסק אשר מהווה כמחצית מסכום התביעה,</w:t>
      </w:r>
      <w:r>
        <w:rPr>
          <w:rFonts w:ascii="FrankRuehl" w:hAnsi="FrankRuehl" w:cs="FrankRuehl"/>
          <w:b/>
          <w:bCs/>
          <w:sz w:val="28"/>
          <w:szCs w:val="28"/>
          <w:rtl/>
        </w:rPr>
        <w:t xml:space="preserve"> נתבע</w:t>
      </w:r>
      <w:r w:rsidR="000E525F">
        <w:rPr>
          <w:rFonts w:ascii="FrankRuehl" w:hAnsi="FrankRuehl" w:cs="FrankRuehl" w:hint="cs"/>
          <w:b/>
          <w:bCs/>
          <w:sz w:val="28"/>
          <w:szCs w:val="28"/>
          <w:rtl/>
        </w:rPr>
        <w:t xml:space="preserve"> 1 </w:t>
      </w:r>
      <w:r>
        <w:rPr>
          <w:rFonts w:ascii="FrankRuehl" w:hAnsi="FrankRuehl" w:cs="FrankRuehl"/>
          <w:b/>
          <w:bCs/>
          <w:sz w:val="28"/>
          <w:szCs w:val="28"/>
          <w:rtl/>
        </w:rPr>
        <w:t>ישל</w:t>
      </w:r>
      <w:r w:rsidR="000E525F">
        <w:rPr>
          <w:rFonts w:ascii="FrankRuehl" w:hAnsi="FrankRuehl" w:cs="FrankRuehl" w:hint="cs"/>
          <w:b/>
          <w:bCs/>
          <w:sz w:val="28"/>
          <w:szCs w:val="28"/>
          <w:rtl/>
        </w:rPr>
        <w:t>ם</w:t>
      </w:r>
      <w:r>
        <w:rPr>
          <w:rFonts w:ascii="FrankRuehl" w:hAnsi="FrankRuehl" w:cs="FrankRuehl"/>
          <w:b/>
          <w:bCs/>
          <w:sz w:val="28"/>
          <w:szCs w:val="28"/>
          <w:rtl/>
        </w:rPr>
        <w:t xml:space="preserve"> לתובע, בגין הוצאות </w:t>
      </w:r>
      <w:r w:rsidR="000E525F">
        <w:rPr>
          <w:rFonts w:ascii="FrankRuehl" w:hAnsi="FrankRuehl" w:cs="FrankRuehl" w:hint="cs"/>
          <w:b/>
          <w:bCs/>
          <w:sz w:val="28"/>
          <w:szCs w:val="28"/>
          <w:rtl/>
        </w:rPr>
        <w:t xml:space="preserve">משפט על </w:t>
      </w:r>
      <w:r>
        <w:rPr>
          <w:rFonts w:ascii="FrankRuehl" w:hAnsi="FrankRuehl" w:cs="FrankRuehl"/>
          <w:b/>
          <w:bCs/>
          <w:sz w:val="28"/>
          <w:szCs w:val="28"/>
          <w:rtl/>
        </w:rPr>
        <w:t>פי קבלות: מחצית האגרה ששילם בתביעתו, את התשלום ששילם למומחה בית המשפט שמונה וגם סך 5,000 ₪</w:t>
      </w:r>
      <w:r w:rsidR="000E525F">
        <w:rPr>
          <w:rFonts w:ascii="FrankRuehl" w:hAnsi="FrankRuehl" w:cs="FrankRuehl" w:hint="cs"/>
          <w:b/>
          <w:bCs/>
          <w:sz w:val="28"/>
          <w:szCs w:val="28"/>
          <w:rtl/>
        </w:rPr>
        <w:t xml:space="preserve">. </w:t>
      </w:r>
      <w:r>
        <w:rPr>
          <w:rFonts w:ascii="FrankRuehl" w:hAnsi="FrankRuehl" w:cs="FrankRuehl"/>
          <w:b/>
          <w:bCs/>
          <w:sz w:val="28"/>
          <w:szCs w:val="28"/>
          <w:rtl/>
        </w:rPr>
        <w:t xml:space="preserve">בגין שכר טִרחת עורך דין </w:t>
      </w:r>
      <w:r w:rsidR="000E525F">
        <w:rPr>
          <w:rFonts w:ascii="FrankRuehl" w:hAnsi="FrankRuehl" w:cs="FrankRuehl" w:hint="cs"/>
          <w:b/>
          <w:bCs/>
          <w:sz w:val="28"/>
          <w:szCs w:val="28"/>
          <w:rtl/>
        </w:rPr>
        <w:t xml:space="preserve">ישלם נתבע 1 לתובע </w:t>
      </w:r>
      <w:r>
        <w:rPr>
          <w:rFonts w:ascii="FrankRuehl" w:hAnsi="FrankRuehl" w:cs="FrankRuehl"/>
          <w:b/>
          <w:bCs/>
          <w:sz w:val="28"/>
          <w:szCs w:val="28"/>
          <w:rtl/>
        </w:rPr>
        <w:t>סך 70,000 ₪.</w:t>
      </w:r>
    </w:p>
    <w:p w:rsidR="000E525F" w:rsidRPr="00101E3B" w:rsidRDefault="000E525F" w:rsidP="000E525F">
      <w:pPr>
        <w:spacing w:line="360" w:lineRule="auto"/>
        <w:ind w:left="720" w:hanging="720"/>
        <w:jc w:val="both"/>
        <w:rPr>
          <w:rFonts w:ascii="FrankRuehl" w:hAnsi="FrankRuehl" w:cs="FrankRuehl"/>
          <w:sz w:val="28"/>
          <w:szCs w:val="28"/>
          <w:rtl/>
        </w:rPr>
      </w:pPr>
    </w:p>
    <w:p w:rsidR="000E525F" w:rsidRPr="00101E3B" w:rsidRDefault="000E525F" w:rsidP="00101E3B">
      <w:pPr>
        <w:spacing w:line="360" w:lineRule="auto"/>
        <w:ind w:left="720" w:hanging="720"/>
        <w:jc w:val="both"/>
        <w:rPr>
          <w:rFonts w:ascii="FrankRuehl" w:hAnsi="FrankRuehl" w:cs="FrankRuehl"/>
          <w:sz w:val="28"/>
          <w:szCs w:val="28"/>
          <w:rtl/>
        </w:rPr>
      </w:pPr>
      <w:r w:rsidRPr="00101E3B">
        <w:rPr>
          <w:rFonts w:ascii="FrankRuehl" w:hAnsi="FrankRuehl" w:cs="FrankRuehl"/>
          <w:sz w:val="28"/>
          <w:szCs w:val="28"/>
          <w:rtl/>
        </w:rPr>
        <w:tab/>
      </w:r>
      <w:r w:rsidRPr="00101E3B">
        <w:rPr>
          <w:rFonts w:ascii="FrankRuehl" w:hAnsi="FrankRuehl" w:cs="FrankRuehl" w:hint="cs"/>
          <w:sz w:val="28"/>
          <w:szCs w:val="28"/>
          <w:rtl/>
        </w:rPr>
        <w:t>מאחר ותביעת התובע כלפי נתבע 2 נדחתה ו</w:t>
      </w:r>
      <w:r w:rsidR="00101E3B" w:rsidRPr="00101E3B">
        <w:rPr>
          <w:rFonts w:ascii="FrankRuehl" w:hAnsi="FrankRuehl" w:cs="FrankRuehl" w:hint="cs"/>
          <w:sz w:val="28"/>
          <w:szCs w:val="28"/>
          <w:rtl/>
        </w:rPr>
        <w:t xml:space="preserve">תביעת נתבע 2 כלפי התובע נדחתה גם היא, </w:t>
      </w:r>
      <w:r w:rsidRPr="00101E3B">
        <w:rPr>
          <w:rFonts w:ascii="FrankRuehl" w:hAnsi="FrankRuehl" w:cs="FrankRuehl" w:hint="cs"/>
          <w:sz w:val="28"/>
          <w:szCs w:val="28"/>
          <w:rtl/>
        </w:rPr>
        <w:t xml:space="preserve">איני מחייבת את התובע בהוצאות </w:t>
      </w:r>
      <w:r w:rsidR="00101E3B" w:rsidRPr="00101E3B">
        <w:rPr>
          <w:rFonts w:ascii="FrankRuehl" w:hAnsi="FrankRuehl" w:cs="FrankRuehl" w:hint="cs"/>
          <w:sz w:val="28"/>
          <w:szCs w:val="28"/>
          <w:rtl/>
        </w:rPr>
        <w:t xml:space="preserve">או שכר טרחה של </w:t>
      </w:r>
      <w:r w:rsidRPr="00101E3B">
        <w:rPr>
          <w:rFonts w:ascii="FrankRuehl" w:hAnsi="FrankRuehl" w:cs="FrankRuehl" w:hint="cs"/>
          <w:sz w:val="28"/>
          <w:szCs w:val="28"/>
          <w:rtl/>
        </w:rPr>
        <w:t xml:space="preserve">נתבע 2 </w:t>
      </w:r>
      <w:r w:rsidR="00101E3B" w:rsidRPr="00101E3B">
        <w:rPr>
          <w:rFonts w:ascii="FrankRuehl" w:hAnsi="FrankRuehl" w:cs="FrankRuehl" w:hint="cs"/>
          <w:sz w:val="28"/>
          <w:szCs w:val="28"/>
          <w:rtl/>
        </w:rPr>
        <w:t>.</w:t>
      </w:r>
    </w:p>
    <w:p w:rsidR="00617B73" w:rsidRDefault="00617B73" w:rsidP="00617B73">
      <w:pPr>
        <w:spacing w:line="360" w:lineRule="auto"/>
        <w:jc w:val="both"/>
        <w:rPr>
          <w:rFonts w:ascii="FrankRuehl" w:hAnsi="FrankRuehl" w:cs="FrankRuehl"/>
          <w:b/>
          <w:bCs/>
          <w:sz w:val="28"/>
          <w:szCs w:val="28"/>
          <w:rtl/>
        </w:rPr>
      </w:pPr>
    </w:p>
    <w:p w:rsidR="00617B73" w:rsidRDefault="00617B73" w:rsidP="00617B73">
      <w:pPr>
        <w:spacing w:line="360" w:lineRule="auto"/>
        <w:jc w:val="both"/>
        <w:rPr>
          <w:rFonts w:ascii="FrankRuehl" w:hAnsi="FrankRuehl" w:cs="FrankRuehl"/>
          <w:b/>
          <w:bCs/>
          <w:sz w:val="28"/>
          <w:szCs w:val="28"/>
          <w:rtl/>
        </w:rPr>
      </w:pPr>
    </w:p>
    <w:p w:rsidR="00617B73" w:rsidRDefault="00765BA7" w:rsidP="00617B73">
      <w:pPr>
        <w:spacing w:line="360" w:lineRule="auto"/>
        <w:jc w:val="both"/>
        <w:rPr>
          <w:rFonts w:ascii="FrankRuehl" w:hAnsi="FrankRuehl" w:cs="FrankRuehl"/>
          <w:sz w:val="28"/>
          <w:szCs w:val="28"/>
          <w:rtl/>
        </w:rPr>
      </w:pPr>
      <w:r>
        <w:rPr>
          <w:rFonts w:ascii="FrankRuehl" w:hAnsi="FrankRuehl" w:cs="FrankRuehl"/>
          <w:b/>
          <w:bCs/>
          <w:sz w:val="28"/>
          <w:szCs w:val="28"/>
          <w:u w:val="single"/>
          <w:rtl/>
        </w:rPr>
        <w:t>המזכירות תמציא לצדדים ותסגור ההליכים שבכותרת</w:t>
      </w:r>
      <w:r>
        <w:rPr>
          <w:rFonts w:ascii="FrankRuehl" w:hAnsi="FrankRuehl" w:cs="FrankRuehl"/>
          <w:b/>
          <w:bCs/>
          <w:sz w:val="28"/>
          <w:szCs w:val="28"/>
          <w:rtl/>
        </w:rPr>
        <w:t>.</w:t>
      </w:r>
    </w:p>
    <w:p w:rsidR="00617B73" w:rsidRPr="00617B73" w:rsidRDefault="00765BA7" w:rsidP="00617B73">
      <w:pPr>
        <w:spacing w:line="360" w:lineRule="auto"/>
        <w:jc w:val="both"/>
        <w:rPr>
          <w:rFonts w:ascii="FrankRuehl" w:hAnsi="FrankRuehl" w:cs="FrankRuehl"/>
          <w:sz w:val="28"/>
          <w:szCs w:val="28"/>
        </w:rPr>
      </w:pPr>
      <w:r>
        <w:rPr>
          <w:rFonts w:ascii="FrankRuehl" w:hAnsi="FrankRuehl" w:cs="FrankRuehl"/>
          <w:b/>
          <w:bCs/>
          <w:sz w:val="28"/>
          <w:szCs w:val="28"/>
          <w:u w:val="single"/>
          <w:rtl/>
        </w:rPr>
        <w:t>מותר לפרסום בהשמטת פרטים מזהים, תיקוני הגהה ועריכה</w:t>
      </w:r>
      <w:r>
        <w:rPr>
          <w:rFonts w:ascii="FrankRuehl" w:hAnsi="FrankRuehl" w:cs="FrankRuehl"/>
          <w:b/>
          <w:bCs/>
          <w:sz w:val="28"/>
          <w:szCs w:val="28"/>
          <w:rtl/>
        </w:rPr>
        <w:t>.</w:t>
      </w:r>
    </w:p>
    <w:p w:rsidR="00694556" w:rsidRDefault="00765BA7" w:rsidP="00617B73">
      <w:pPr>
        <w:jc w:val="both"/>
        <w:rPr>
          <w:rFonts w:ascii="FrankRuehl" w:hAnsi="FrankRuehl" w:cs="FrankRuehl"/>
          <w:sz w:val="28"/>
          <w:szCs w:val="28"/>
          <w:rtl/>
        </w:rPr>
      </w:pPr>
      <w:r>
        <w:rPr>
          <w:rFonts w:ascii="FrankRuehl" w:hAnsi="FrankRuehl" w:cs="FrankRuehl"/>
          <w:sz w:val="28"/>
          <w:szCs w:val="28"/>
          <w:rtl/>
        </w:rPr>
        <w:t xml:space="preserve">ניתן היום,  </w:t>
      </w:r>
      <w:sdt>
        <w:sdtPr>
          <w:rPr>
            <w:rFonts w:ascii="FrankRuehl" w:hAnsi="FrankRuehl" w:cs="FrankRuehl"/>
            <w:sz w:val="28"/>
            <w:szCs w:val="28"/>
            <w:rtl/>
          </w:rPr>
          <w:alias w:val="1455"/>
          <w:tag w:val="1455"/>
          <w:id w:val="242217728"/>
          <w:text w:multiLine="1"/>
        </w:sdtPr>
        <w:sdtEndPr/>
        <w:sdtContent>
          <w:r>
            <w:rPr>
              <w:rFonts w:ascii="FrankRuehl" w:hAnsi="FrankRuehl" w:cs="FrankRuehl"/>
              <w:sz w:val="28"/>
              <w:szCs w:val="28"/>
              <w:rtl/>
            </w:rPr>
            <w:t>י"א טבת תשפ"ג</w:t>
          </w:r>
        </w:sdtContent>
      </w:sdt>
      <w:r>
        <w:rPr>
          <w:rFonts w:ascii="FrankRuehl" w:hAnsi="FrankRuehl" w:cs="FrankRuehl"/>
          <w:sz w:val="28"/>
          <w:szCs w:val="28"/>
          <w:rtl/>
        </w:rPr>
        <w:t xml:space="preserve">, </w:t>
      </w:r>
      <w:sdt>
        <w:sdtPr>
          <w:rPr>
            <w:rFonts w:ascii="FrankRuehl" w:hAnsi="FrankRuehl" w:cs="FrankRuehl"/>
            <w:sz w:val="28"/>
            <w:szCs w:val="28"/>
            <w:rtl/>
          </w:rPr>
          <w:alias w:val="1456"/>
          <w:tag w:val="1456"/>
          <w:id w:val="-1101635932"/>
          <w:text w:multiLine="1"/>
        </w:sdtPr>
        <w:sdtEndPr/>
        <w:sdtContent>
          <w:r>
            <w:rPr>
              <w:rFonts w:ascii="FrankRuehl" w:hAnsi="FrankRuehl" w:cs="FrankRuehl"/>
              <w:sz w:val="28"/>
              <w:szCs w:val="28"/>
              <w:rtl/>
            </w:rPr>
            <w:t>04 ינואר 2023</w:t>
          </w:r>
        </w:sdtContent>
      </w:sdt>
      <w:r>
        <w:rPr>
          <w:rFonts w:ascii="FrankRuehl" w:hAnsi="FrankRuehl" w:cs="FrankRuehl"/>
          <w:sz w:val="28"/>
          <w:szCs w:val="28"/>
          <w:rtl/>
        </w:rPr>
        <w:t>, בהעדר הצדדים.</w:t>
      </w:r>
    </w:p>
    <w:p w:rsidR="00951115" w:rsidRDefault="00951115" w:rsidP="00617B73">
      <w:pPr>
        <w:jc w:val="both"/>
        <w:rPr>
          <w:rFonts w:ascii="FrankRuehl" w:hAnsi="FrankRuehl" w:cs="FrankRuehl"/>
          <w:sz w:val="28"/>
          <w:szCs w:val="28"/>
          <w:rtl/>
        </w:rPr>
      </w:pPr>
    </w:p>
    <w:p w:rsidR="00951115" w:rsidRDefault="00E073E3" w:rsidP="00951115">
      <w:pPr>
        <w:tabs>
          <w:tab w:val="left" w:pos="2553"/>
        </w:tabs>
        <w:ind w:left="5040"/>
        <w:rPr>
          <w:rtl/>
        </w:rPr>
      </w:pPr>
      <w:sdt>
        <w:sdtPr>
          <w:rPr>
            <w:rtl/>
          </w:rPr>
          <w:alias w:val="2045"/>
          <w:tag w:val="2045"/>
          <w:id w:val="740689340"/>
          <w:placeholder>
            <w:docPart w:val="2AFB149550324507A608B602EB699B1A"/>
          </w:placeholder>
          <w:showingPlcHdr/>
          <w:text w:multiLine="1"/>
        </w:sdtPr>
        <w:sdtEndPr/>
        <w:sdtContent>
          <w:r w:rsidR="00951115">
            <w:rPr>
              <w:rtl/>
            </w:rPr>
            <w:t xml:space="preserve">     </w:t>
          </w:r>
        </w:sdtContent>
      </w:sdt>
    </w:p>
    <w:p w:rsidR="00951115" w:rsidRDefault="00951115" w:rsidP="00951115">
      <w:pPr>
        <w:tabs>
          <w:tab w:val="left" w:pos="2553"/>
        </w:tabs>
      </w:pPr>
      <w:r>
        <w:rPr>
          <w:rtl/>
        </w:rPr>
        <w:tab/>
      </w:r>
      <w:r>
        <w:rPr>
          <w:rtl/>
        </w:rPr>
        <w:tab/>
      </w:r>
      <w:r>
        <w:rPr>
          <w:rtl/>
        </w:rPr>
        <w:tab/>
      </w:r>
      <w:r>
        <w:rPr>
          <w:rtl/>
        </w:rPr>
        <w:tab/>
        <w:t xml:space="preserve">        </w:t>
      </w:r>
      <w:sdt>
        <w:sdtPr>
          <w:rPr>
            <w:rtl/>
          </w:rPr>
          <w:alias w:val="MergeField"/>
          <w:tag w:val="1237"/>
          <w:id w:val="-1911681033"/>
        </w:sdtPr>
        <w:sdtEndPr/>
        <w:sdtContent>
          <w:r w:rsidR="00DB02DA">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47825" cy="904875"/>
                        </a:xfrm>
                        <a:prstGeom prst="rect">
                          <a:avLst/>
                        </a:prstGeom>
                      </pic:spPr>
                    </pic:pic>
                  </a:graphicData>
                </a:graphic>
              </wp:inline>
            </w:drawing>
          </w:r>
        </w:sdtContent>
      </w:sdt>
    </w:p>
    <w:p w:rsidR="00951115" w:rsidRDefault="00951115" w:rsidP="00951115">
      <w:pPr>
        <w:tabs>
          <w:tab w:val="left" w:pos="2553"/>
        </w:tabs>
        <w:rPr>
          <w:rFonts w:ascii="Arial" w:hAnsi="Arial"/>
          <w:noProof w:val="0"/>
          <w:rtl/>
        </w:rPr>
      </w:pPr>
    </w:p>
    <w:sectPr w:rsidR="00951115" w:rsidSect="00951115">
      <w:headerReference w:type="default" r:id="rId9"/>
      <w:footerReference w:type="default" r:id="rId10"/>
      <w:pgSz w:w="11907" w:h="16840" w:code="9"/>
      <w:pgMar w:top="720" w:right="1701" w:bottom="1418"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E073E3">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E073E3">
      <w:rPr>
        <w:rStyle w:val="ac"/>
        <w:rtl/>
      </w:rPr>
      <w:t>24</w:t>
    </w:r>
    <w:r w:rsidRPr="004E6E3C">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BA7" w:rsidRDefault="00E073E3" w:rsidP="00765BA7">
    <w:pPr>
      <w:pStyle w:val="a3"/>
      <w:jc w:val="center"/>
      <w:rPr>
        <w:rFonts w:cs="FrankRuehl"/>
        <w:noProof w:val="0"/>
        <w:sz w:val="28"/>
        <w:szCs w:val="28"/>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26979" type="#_x0000_t136" style="position:absolute;left:0;text-align:left;margin-left:0;margin-top:0;width:478.1pt;height:86.95pt;rotation:315;z-index:251660288;mso-position-horizontal:center;mso-position-horizontal-relative:margin;mso-position-vertical:center;mso-position-vertical-relative:margin" fillcolor="silver" stroked="f">
          <v:stroke r:id="rId1" o:title=""/>
          <v:shadow color="#868686"/>
          <v:textpath style="font-family:&quot;Times New Roman&quot;;font-size:1pt;v-text-kern:t" trim="t" fitpath="t" string="."/>
          <o:lock v:ext="edit" aspectratio="t"/>
          <w10:wrap anchorx="margin" anchory="margin"/>
        </v:shape>
      </w:pict>
    </w:r>
    <w:r w:rsidR="00765BA7">
      <w:rPr>
        <w:rFonts w:cs="FrankRuehl"/>
        <w:sz w:val="28"/>
        <w:szCs w:val="28"/>
      </w:rPr>
      <w:drawing>
        <wp:inline distT="0" distB="0" distL="0" distR="0">
          <wp:extent cx="371475" cy="466725"/>
          <wp:effectExtent l="0" t="0" r="9525" b="9525"/>
          <wp:docPr id="6" name="תמונה 6"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505"/>
    </w:tblGrid>
    <w:tr w:rsidR="00765BA7" w:rsidTr="00765BA7">
      <w:trPr>
        <w:trHeight w:val="670"/>
        <w:jc w:val="center"/>
      </w:trPr>
      <w:sdt>
        <w:sdtPr>
          <w:rPr>
            <w:rtl/>
          </w:rPr>
          <w:alias w:val="1174"/>
          <w:tag w:val="1174"/>
          <w:id w:val="-1775709220"/>
          <w:text/>
        </w:sdtPr>
        <w:sdtEndPr/>
        <w:sdtContent>
          <w:tc>
            <w:tcPr>
              <w:tcW w:w="8505" w:type="dxa"/>
              <w:hideMark/>
            </w:tcPr>
            <w:p w:rsidR="00765BA7" w:rsidRDefault="00765BA7" w:rsidP="00765BA7">
              <w:pPr>
                <w:pStyle w:val="a3"/>
                <w:spacing w:line="256" w:lineRule="auto"/>
                <w:jc w:val="center"/>
                <w:rPr>
                  <w:rtl/>
                </w:rPr>
              </w:pPr>
              <w:r>
                <w:rPr>
                  <w:rFonts w:ascii="Tahoma" w:hAnsi="Tahoma" w:cs="Tahoma"/>
                  <w:b/>
                  <w:bCs/>
                  <w:noProof w:val="0"/>
                  <w:color w:val="000080"/>
                  <w:rtl/>
                </w:rPr>
                <w:t>בית משפט לענייני משפחה בחיפה</w:t>
              </w:r>
            </w:p>
          </w:tc>
        </w:sdtContent>
      </w:sdt>
    </w:tr>
    <w:tr w:rsidR="00765BA7" w:rsidTr="00765BA7">
      <w:trPr>
        <w:trHeight w:val="337"/>
        <w:jc w:val="center"/>
      </w:trPr>
      <w:tc>
        <w:tcPr>
          <w:tcW w:w="8505" w:type="dxa"/>
          <w:hideMark/>
        </w:tcPr>
        <w:p w:rsidR="00765BA7" w:rsidRDefault="00765BA7" w:rsidP="003E4826">
          <w:pPr>
            <w:rPr>
              <w:rFonts w:ascii="FrankRuehl" w:hAnsi="FrankRuehl" w:cs="FrankRuehl"/>
              <w:b/>
              <w:bCs/>
              <w:sz w:val="28"/>
              <w:szCs w:val="28"/>
              <w:rtl/>
            </w:rPr>
          </w:pPr>
          <w:r>
            <w:rPr>
              <w:rFonts w:ascii="FrankRuehl" w:hAnsi="FrankRuehl" w:cs="FrankRuehl"/>
              <w:b/>
              <w:bCs/>
              <w:sz w:val="28"/>
              <w:szCs w:val="28"/>
              <w:rtl/>
            </w:rPr>
            <w:t xml:space="preserve">תמ"ש 66680-09-16 (כספית, תביעה של </w:t>
          </w:r>
          <w:r w:rsidR="003E4826">
            <w:rPr>
              <w:rFonts w:ascii="FrankRuehl" w:hAnsi="FrankRuehl" w:cs="FrankRuehl" w:hint="cs"/>
              <w:b/>
              <w:bCs/>
              <w:sz w:val="28"/>
              <w:szCs w:val="28"/>
              <w:rtl/>
            </w:rPr>
            <w:t>א'</w:t>
          </w:r>
          <w:r>
            <w:rPr>
              <w:rFonts w:ascii="FrankRuehl" w:hAnsi="FrankRuehl" w:cs="FrankRuehl"/>
              <w:b/>
              <w:bCs/>
              <w:sz w:val="28"/>
              <w:szCs w:val="28"/>
              <w:rtl/>
            </w:rPr>
            <w:t>)</w:t>
          </w:r>
          <w:r>
            <w:rPr>
              <w:rFonts w:ascii="FrankRuehl" w:hAnsi="FrankRuehl" w:cs="FrankRuehl"/>
              <w:b/>
              <w:bCs/>
              <w:sz w:val="28"/>
              <w:szCs w:val="28"/>
              <w:rtl/>
            </w:rPr>
            <w:br/>
            <w:t xml:space="preserve">תמ"ש 47895-06-18 (כספית, תביעה של </w:t>
          </w:r>
          <w:r w:rsidR="003E4826">
            <w:rPr>
              <w:rFonts w:ascii="FrankRuehl" w:hAnsi="FrankRuehl" w:cs="FrankRuehl" w:hint="cs"/>
              <w:b/>
              <w:bCs/>
              <w:sz w:val="28"/>
              <w:szCs w:val="28"/>
              <w:rtl/>
            </w:rPr>
            <w:t>ס'</w:t>
          </w:r>
          <w:r>
            <w:rPr>
              <w:rFonts w:ascii="FrankRuehl" w:hAnsi="FrankRuehl" w:cs="FrankRuehl"/>
              <w:b/>
              <w:bCs/>
              <w:sz w:val="28"/>
              <w:szCs w:val="28"/>
              <w:rtl/>
            </w:rPr>
            <w:t>)</w:t>
          </w:r>
          <w:r>
            <w:rPr>
              <w:rFonts w:ascii="FrankRuehl" w:hAnsi="FrankRuehl" w:cs="FrankRuehl"/>
              <w:b/>
              <w:bCs/>
              <w:sz w:val="28"/>
              <w:szCs w:val="28"/>
              <w:rtl/>
            </w:rPr>
            <w:br/>
          </w:r>
          <w:r w:rsidR="003E4826">
            <w:rPr>
              <w:rFonts w:ascii="FrankRuehl" w:hAnsi="FrankRuehl" w:cs="FrankRuehl" w:hint="cs"/>
              <w:b/>
              <w:bCs/>
              <w:sz w:val="28"/>
              <w:szCs w:val="28"/>
              <w:rtl/>
            </w:rPr>
            <w:t>ר'</w:t>
          </w:r>
          <w:r>
            <w:rPr>
              <w:rFonts w:ascii="FrankRuehl" w:hAnsi="FrankRuehl" w:cs="FrankRuehl"/>
              <w:b/>
              <w:bCs/>
              <w:sz w:val="28"/>
              <w:szCs w:val="28"/>
              <w:rtl/>
            </w:rPr>
            <w:t xml:space="preserve"> נ' </w:t>
          </w:r>
          <w:r w:rsidR="003E4826">
            <w:rPr>
              <w:rFonts w:ascii="FrankRuehl" w:hAnsi="FrankRuehl" w:cs="FrankRuehl" w:hint="cs"/>
              <w:b/>
              <w:bCs/>
              <w:sz w:val="28"/>
              <w:szCs w:val="28"/>
              <w:rtl/>
            </w:rPr>
            <w:t>ר'</w:t>
          </w:r>
          <w:r>
            <w:rPr>
              <w:rFonts w:ascii="FrankRuehl" w:hAnsi="FrankRuehl" w:cs="FrankRuehl"/>
              <w:b/>
              <w:bCs/>
              <w:sz w:val="28"/>
              <w:szCs w:val="28"/>
              <w:rtl/>
            </w:rPr>
            <w:t xml:space="preserve"> ואח'</w:t>
          </w:r>
        </w:p>
      </w:tc>
    </w:tr>
  </w:tbl>
  <w:p w:rsidR="00765BA7" w:rsidRDefault="00765BA7" w:rsidP="00765BA7">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395F23"/>
    <w:multiLevelType w:val="hybridMultilevel"/>
    <w:tmpl w:val="0838C402"/>
    <w:lvl w:ilvl="0" w:tplc="D432FA4E">
      <w:numFmt w:val="bullet"/>
      <w:lvlText w:val=""/>
      <w:lvlJc w:val="left"/>
      <w:pPr>
        <w:ind w:left="720" w:hanging="360"/>
      </w:pPr>
      <w:rPr>
        <w:rFonts w:ascii="Symbol" w:eastAsia="Calibri" w:hAnsi="Symbol"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rDx3zW6HzLAR205WUFu+sMB2auK/tVD9PoP+RH5fIS92sfJEhX/FYjsmbfMHVSvQWu7XDV2uIt9zKFrZGxAB3w==" w:salt="DBTMg9RV7IGCVzkdvBbMuA=="/>
  <w:defaultTabStop w:val="720"/>
  <w:characterSpacingControl w:val="doNotCompress"/>
  <w:hdrShapeDefaults>
    <o:shapedefaults v:ext="edit" spidmax="126980"/>
    <o:shapelayout v:ext="edit">
      <o:idmap v:ext="edit" data="12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3934008"/>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3934008&amp;lt;/CaseID&amp;gt;_x000d__x000a_        &amp;lt;DocumentID&amp;gt;415557474&amp;lt;/DocumentID&amp;gt;_x000d__x000a_      &amp;lt;/dt_DocumentCase&amp;gt;_x000d__x000a_      &amp;lt;dt_Document diffgr:id=&amp;quot;dt_Document1&amp;quot; msdata:rowOrder=&amp;quot;0&amp;quot;&amp;gt;_x000d__x000a_        &amp;lt;DocumentID&amp;gt;415557474&amp;lt;/DocumentID&amp;gt;_x000d__x000a_        &amp;lt;DocumentMainID&amp;gt;0&amp;lt;/DocumentMainID&amp;gt;_x000d__x000a_        &amp;lt;CaseID&amp;gt;73934008&amp;lt;/CaseID&amp;gt;_x000d__x000a_        &amp;lt;DocumentIncludedDate&amp;gt;2023-07-02T11:32:19.56+03:00&amp;lt;/DocumentIncludedDate&amp;gt;_x000d__x000a_        &amp;lt;DocumentDesc&amp;gt;פסק דין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7-02T11:32:19.56+03:00&amp;lt;/DocumentSavingDate&amp;gt;_x000d__x000a_        &amp;lt;DocumentChangeDate&amp;gt;2023-07-02T11:32:19.653+03:00&amp;lt;/DocumentChangeDate&amp;gt;_x000d__x000a_        &amp;lt;IsScanned&amp;gt;false&amp;lt;/IsScanned&amp;gt;_x000d__x000a_        &amp;lt;PageQuantity&amp;gt;0&amp;lt;/PageQuantity&amp;gt;_x000d__x000a_        &amp;lt;DocumentStatusID&amp;gt;2&amp;lt;/DocumentStatusID&amp;gt;_x000d__x000a_        &amp;lt;DocumentStatusChangeDate&amp;gt;2023-07-02T11:32:19.653+03: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393990452&amp;lt;/OriginalDocumentID&amp;gt;_x000d__x000a_        &amp;lt;PrivillegeID&amp;gt;2&amp;lt;/PrivillegeID&amp;gt;_x000d__x000a_        &amp;lt;FromPage&amp;gt;0&amp;lt;/FromPage&amp;gt;_x000d__x000a_        &amp;lt;ToPage&amp;gt;0&amp;lt;/ToPage&amp;gt;_x000d__x000a_        &amp;lt;FileID&amp;gt;1f3cbb1589010000090037f6a714eac1&amp;lt;/FileID&amp;gt;_x000d__x000a_        &amp;lt;URL&amp;gt;\\CTLNFSV02\doc_repository\707\44\de0b0b35aa07479e93271c156fd5a713_copy.docx&amp;lt;/URL&amp;gt;_x000d__x000a_        &amp;lt;OlivePriority&amp;gt;1&amp;lt;/OlivePriority&amp;gt;_x000d__x000a_        &amp;lt;MetaDataTypeID&amp;gt;1&amp;lt;/MetaDataTypeID&amp;gt;_x000d__x000a_        &amp;lt;MetaDataChangeDate&amp;gt;2023-07-02T11:32:19.65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3-01-04T15:52:52.76&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1-04T15:52:52.76+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06B56"/>
    <w:rsid w:val="00007D3C"/>
    <w:rsid w:val="00012108"/>
    <w:rsid w:val="0001231B"/>
    <w:rsid w:val="000146C2"/>
    <w:rsid w:val="0001626D"/>
    <w:rsid w:val="00016C35"/>
    <w:rsid w:val="000258FD"/>
    <w:rsid w:val="000277BF"/>
    <w:rsid w:val="0003710B"/>
    <w:rsid w:val="000500D1"/>
    <w:rsid w:val="000564AB"/>
    <w:rsid w:val="00072162"/>
    <w:rsid w:val="0007595D"/>
    <w:rsid w:val="00081C14"/>
    <w:rsid w:val="000D37FA"/>
    <w:rsid w:val="000D4A02"/>
    <w:rsid w:val="000D74A2"/>
    <w:rsid w:val="000E43E4"/>
    <w:rsid w:val="000E4BFB"/>
    <w:rsid w:val="000E525F"/>
    <w:rsid w:val="000E7EFC"/>
    <w:rsid w:val="00101E3B"/>
    <w:rsid w:val="001072A9"/>
    <w:rsid w:val="0011019E"/>
    <w:rsid w:val="001127A3"/>
    <w:rsid w:val="00121F97"/>
    <w:rsid w:val="001277D7"/>
    <w:rsid w:val="00132017"/>
    <w:rsid w:val="00134E88"/>
    <w:rsid w:val="00135125"/>
    <w:rsid w:val="0014234E"/>
    <w:rsid w:val="00145787"/>
    <w:rsid w:val="00145A87"/>
    <w:rsid w:val="00147FB2"/>
    <w:rsid w:val="00153673"/>
    <w:rsid w:val="00154E7F"/>
    <w:rsid w:val="00155016"/>
    <w:rsid w:val="00161CB5"/>
    <w:rsid w:val="0016318B"/>
    <w:rsid w:val="001647D6"/>
    <w:rsid w:val="00174E34"/>
    <w:rsid w:val="001817CF"/>
    <w:rsid w:val="001C4003"/>
    <w:rsid w:val="001C6AEF"/>
    <w:rsid w:val="001E1738"/>
    <w:rsid w:val="001E29FB"/>
    <w:rsid w:val="001E4517"/>
    <w:rsid w:val="001E6041"/>
    <w:rsid w:val="001E734E"/>
    <w:rsid w:val="001F5474"/>
    <w:rsid w:val="001F5E0C"/>
    <w:rsid w:val="0020501E"/>
    <w:rsid w:val="00224619"/>
    <w:rsid w:val="00225351"/>
    <w:rsid w:val="00225B4F"/>
    <w:rsid w:val="002352F7"/>
    <w:rsid w:val="00242630"/>
    <w:rsid w:val="00245294"/>
    <w:rsid w:val="00254326"/>
    <w:rsid w:val="0025660A"/>
    <w:rsid w:val="00263DC3"/>
    <w:rsid w:val="0027277D"/>
    <w:rsid w:val="0028309B"/>
    <w:rsid w:val="00283407"/>
    <w:rsid w:val="00285FD2"/>
    <w:rsid w:val="002953B6"/>
    <w:rsid w:val="002A2746"/>
    <w:rsid w:val="002B12E0"/>
    <w:rsid w:val="002C4AEF"/>
    <w:rsid w:val="002E0465"/>
    <w:rsid w:val="002E4199"/>
    <w:rsid w:val="0031322F"/>
    <w:rsid w:val="0031614B"/>
    <w:rsid w:val="003302D6"/>
    <w:rsid w:val="00335ED8"/>
    <w:rsid w:val="00346546"/>
    <w:rsid w:val="003516E1"/>
    <w:rsid w:val="00351954"/>
    <w:rsid w:val="00370B66"/>
    <w:rsid w:val="0037668D"/>
    <w:rsid w:val="00381D3A"/>
    <w:rsid w:val="003823DA"/>
    <w:rsid w:val="00383C0A"/>
    <w:rsid w:val="003924F2"/>
    <w:rsid w:val="0039320D"/>
    <w:rsid w:val="003968F2"/>
    <w:rsid w:val="003A3EEF"/>
    <w:rsid w:val="003B1FDB"/>
    <w:rsid w:val="003B2ACA"/>
    <w:rsid w:val="003C399D"/>
    <w:rsid w:val="003E2106"/>
    <w:rsid w:val="003E4826"/>
    <w:rsid w:val="0040066F"/>
    <w:rsid w:val="004109A7"/>
    <w:rsid w:val="00432FF4"/>
    <w:rsid w:val="0043595F"/>
    <w:rsid w:val="00443A56"/>
    <w:rsid w:val="004525D3"/>
    <w:rsid w:val="00452A8F"/>
    <w:rsid w:val="0045483D"/>
    <w:rsid w:val="004562CC"/>
    <w:rsid w:val="004566C2"/>
    <w:rsid w:val="00456B63"/>
    <w:rsid w:val="004622CC"/>
    <w:rsid w:val="0046694A"/>
    <w:rsid w:val="004678AD"/>
    <w:rsid w:val="0047645A"/>
    <w:rsid w:val="004803E8"/>
    <w:rsid w:val="004A1AF7"/>
    <w:rsid w:val="004B4881"/>
    <w:rsid w:val="004B6E56"/>
    <w:rsid w:val="004C4DA0"/>
    <w:rsid w:val="004D49A3"/>
    <w:rsid w:val="004D50AC"/>
    <w:rsid w:val="004D6F00"/>
    <w:rsid w:val="004E6E3C"/>
    <w:rsid w:val="004F0E9B"/>
    <w:rsid w:val="005124F1"/>
    <w:rsid w:val="00522F09"/>
    <w:rsid w:val="00524A0D"/>
    <w:rsid w:val="00530BAD"/>
    <w:rsid w:val="00541084"/>
    <w:rsid w:val="00541598"/>
    <w:rsid w:val="00547DB7"/>
    <w:rsid w:val="0055206A"/>
    <w:rsid w:val="0056291E"/>
    <w:rsid w:val="005669F3"/>
    <w:rsid w:val="00567324"/>
    <w:rsid w:val="005677D2"/>
    <w:rsid w:val="00571B59"/>
    <w:rsid w:val="00573A09"/>
    <w:rsid w:val="00573E92"/>
    <w:rsid w:val="00581658"/>
    <w:rsid w:val="00583B7D"/>
    <w:rsid w:val="00584B5A"/>
    <w:rsid w:val="005912EB"/>
    <w:rsid w:val="00593501"/>
    <w:rsid w:val="005A3E5E"/>
    <w:rsid w:val="005B0F49"/>
    <w:rsid w:val="005B5AC3"/>
    <w:rsid w:val="005C7EC6"/>
    <w:rsid w:val="005D4BDB"/>
    <w:rsid w:val="005E06B9"/>
    <w:rsid w:val="005E3BA0"/>
    <w:rsid w:val="005E4FB2"/>
    <w:rsid w:val="005E691E"/>
    <w:rsid w:val="005F0CCC"/>
    <w:rsid w:val="00606666"/>
    <w:rsid w:val="00612A83"/>
    <w:rsid w:val="00617B73"/>
    <w:rsid w:val="00622BAA"/>
    <w:rsid w:val="0062421F"/>
    <w:rsid w:val="00625C89"/>
    <w:rsid w:val="006264BD"/>
    <w:rsid w:val="00633C4F"/>
    <w:rsid w:val="0064040A"/>
    <w:rsid w:val="00640BFA"/>
    <w:rsid w:val="00642571"/>
    <w:rsid w:val="006442AA"/>
    <w:rsid w:val="00654CD9"/>
    <w:rsid w:val="00663747"/>
    <w:rsid w:val="00671BD5"/>
    <w:rsid w:val="006765A4"/>
    <w:rsid w:val="006805C1"/>
    <w:rsid w:val="006816EC"/>
    <w:rsid w:val="00692C29"/>
    <w:rsid w:val="00694556"/>
    <w:rsid w:val="006B7027"/>
    <w:rsid w:val="006D653D"/>
    <w:rsid w:val="006E0C6E"/>
    <w:rsid w:val="006E1A53"/>
    <w:rsid w:val="006E7C93"/>
    <w:rsid w:val="006F2E65"/>
    <w:rsid w:val="006F4463"/>
    <w:rsid w:val="007056AA"/>
    <w:rsid w:val="00712686"/>
    <w:rsid w:val="00715727"/>
    <w:rsid w:val="00722111"/>
    <w:rsid w:val="00725B92"/>
    <w:rsid w:val="00731356"/>
    <w:rsid w:val="00741F9E"/>
    <w:rsid w:val="00744F41"/>
    <w:rsid w:val="00756C1D"/>
    <w:rsid w:val="00765BA7"/>
    <w:rsid w:val="00771489"/>
    <w:rsid w:val="00783C67"/>
    <w:rsid w:val="00787A4E"/>
    <w:rsid w:val="0079451B"/>
    <w:rsid w:val="007A1731"/>
    <w:rsid w:val="007A24FE"/>
    <w:rsid w:val="007A35AA"/>
    <w:rsid w:val="007B0BA8"/>
    <w:rsid w:val="007B50F8"/>
    <w:rsid w:val="007D3776"/>
    <w:rsid w:val="007D6ADE"/>
    <w:rsid w:val="007E112A"/>
    <w:rsid w:val="007E272D"/>
    <w:rsid w:val="007F1048"/>
    <w:rsid w:val="007F76E9"/>
    <w:rsid w:val="00814FC2"/>
    <w:rsid w:val="00816346"/>
    <w:rsid w:val="00816391"/>
    <w:rsid w:val="00820005"/>
    <w:rsid w:val="008443B6"/>
    <w:rsid w:val="00846D27"/>
    <w:rsid w:val="0085063D"/>
    <w:rsid w:val="00851299"/>
    <w:rsid w:val="00852969"/>
    <w:rsid w:val="0085629A"/>
    <w:rsid w:val="00857B78"/>
    <w:rsid w:val="008603B5"/>
    <w:rsid w:val="008610A7"/>
    <w:rsid w:val="0087086A"/>
    <w:rsid w:val="00896BA3"/>
    <w:rsid w:val="008B08A8"/>
    <w:rsid w:val="008B2797"/>
    <w:rsid w:val="008C608D"/>
    <w:rsid w:val="008D5FBC"/>
    <w:rsid w:val="008E052B"/>
    <w:rsid w:val="008E1332"/>
    <w:rsid w:val="008F0F6B"/>
    <w:rsid w:val="00903896"/>
    <w:rsid w:val="00905AED"/>
    <w:rsid w:val="00905CFC"/>
    <w:rsid w:val="00910DEE"/>
    <w:rsid w:val="00914994"/>
    <w:rsid w:val="009215B0"/>
    <w:rsid w:val="00927813"/>
    <w:rsid w:val="009318EC"/>
    <w:rsid w:val="00935E5A"/>
    <w:rsid w:val="00935F35"/>
    <w:rsid w:val="009370AF"/>
    <w:rsid w:val="00937101"/>
    <w:rsid w:val="009402AC"/>
    <w:rsid w:val="009411EC"/>
    <w:rsid w:val="00944D13"/>
    <w:rsid w:val="00951115"/>
    <w:rsid w:val="00954F25"/>
    <w:rsid w:val="00956C22"/>
    <w:rsid w:val="00957C90"/>
    <w:rsid w:val="009655AD"/>
    <w:rsid w:val="00965AAC"/>
    <w:rsid w:val="00967045"/>
    <w:rsid w:val="00975C7C"/>
    <w:rsid w:val="00984C99"/>
    <w:rsid w:val="009926D0"/>
    <w:rsid w:val="00996659"/>
    <w:rsid w:val="009A4705"/>
    <w:rsid w:val="009B31C5"/>
    <w:rsid w:val="009B567D"/>
    <w:rsid w:val="009B70F6"/>
    <w:rsid w:val="009C13C4"/>
    <w:rsid w:val="009C202B"/>
    <w:rsid w:val="009C358E"/>
    <w:rsid w:val="009C39F5"/>
    <w:rsid w:val="009C4778"/>
    <w:rsid w:val="009C624A"/>
    <w:rsid w:val="009D65E5"/>
    <w:rsid w:val="009E0263"/>
    <w:rsid w:val="009E12CB"/>
    <w:rsid w:val="009E3B1F"/>
    <w:rsid w:val="009E7E07"/>
    <w:rsid w:val="009F03E7"/>
    <w:rsid w:val="00A05688"/>
    <w:rsid w:val="00A24B09"/>
    <w:rsid w:val="00A267CF"/>
    <w:rsid w:val="00A433CE"/>
    <w:rsid w:val="00A43458"/>
    <w:rsid w:val="00A570D3"/>
    <w:rsid w:val="00A71EBE"/>
    <w:rsid w:val="00A744AB"/>
    <w:rsid w:val="00A76160"/>
    <w:rsid w:val="00A930D5"/>
    <w:rsid w:val="00A97D93"/>
    <w:rsid w:val="00AB5762"/>
    <w:rsid w:val="00AB6AE8"/>
    <w:rsid w:val="00AC4E19"/>
    <w:rsid w:val="00AD3C33"/>
    <w:rsid w:val="00AE13B3"/>
    <w:rsid w:val="00AF1ED6"/>
    <w:rsid w:val="00B00913"/>
    <w:rsid w:val="00B042D5"/>
    <w:rsid w:val="00B056DD"/>
    <w:rsid w:val="00B05E80"/>
    <w:rsid w:val="00B07F30"/>
    <w:rsid w:val="00B213AF"/>
    <w:rsid w:val="00B21D8D"/>
    <w:rsid w:val="00B32C61"/>
    <w:rsid w:val="00B362E4"/>
    <w:rsid w:val="00B368FE"/>
    <w:rsid w:val="00B42705"/>
    <w:rsid w:val="00B432CE"/>
    <w:rsid w:val="00B47685"/>
    <w:rsid w:val="00B60B6A"/>
    <w:rsid w:val="00B61BCF"/>
    <w:rsid w:val="00B67625"/>
    <w:rsid w:val="00B77C1D"/>
    <w:rsid w:val="00B80CBD"/>
    <w:rsid w:val="00B96E2B"/>
    <w:rsid w:val="00BB4717"/>
    <w:rsid w:val="00BC3369"/>
    <w:rsid w:val="00BC48FE"/>
    <w:rsid w:val="00BD0624"/>
    <w:rsid w:val="00BD441F"/>
    <w:rsid w:val="00BD574F"/>
    <w:rsid w:val="00BD5DA2"/>
    <w:rsid w:val="00BF77EE"/>
    <w:rsid w:val="00C05CC5"/>
    <w:rsid w:val="00C0643D"/>
    <w:rsid w:val="00C16875"/>
    <w:rsid w:val="00C27459"/>
    <w:rsid w:val="00C32E0F"/>
    <w:rsid w:val="00C33F8C"/>
    <w:rsid w:val="00C35950"/>
    <w:rsid w:val="00C42BF9"/>
    <w:rsid w:val="00C7616C"/>
    <w:rsid w:val="00C82DE9"/>
    <w:rsid w:val="00C83E56"/>
    <w:rsid w:val="00C97CBF"/>
    <w:rsid w:val="00CA1866"/>
    <w:rsid w:val="00CA1A27"/>
    <w:rsid w:val="00CB513C"/>
    <w:rsid w:val="00CC63CE"/>
    <w:rsid w:val="00CE019E"/>
    <w:rsid w:val="00CF0B7F"/>
    <w:rsid w:val="00D254A4"/>
    <w:rsid w:val="00D26D33"/>
    <w:rsid w:val="00D319B3"/>
    <w:rsid w:val="00D36A71"/>
    <w:rsid w:val="00D441BC"/>
    <w:rsid w:val="00D5169A"/>
    <w:rsid w:val="00D53924"/>
    <w:rsid w:val="00D60849"/>
    <w:rsid w:val="00D73AEB"/>
    <w:rsid w:val="00D856F6"/>
    <w:rsid w:val="00D86167"/>
    <w:rsid w:val="00D91A3A"/>
    <w:rsid w:val="00D96D8C"/>
    <w:rsid w:val="00DA755B"/>
    <w:rsid w:val="00DB02DA"/>
    <w:rsid w:val="00DB3F8B"/>
    <w:rsid w:val="00DC22A1"/>
    <w:rsid w:val="00DC529C"/>
    <w:rsid w:val="00DD337E"/>
    <w:rsid w:val="00DD759C"/>
    <w:rsid w:val="00DF0785"/>
    <w:rsid w:val="00DF43C7"/>
    <w:rsid w:val="00E00B6F"/>
    <w:rsid w:val="00E04E14"/>
    <w:rsid w:val="00E073E3"/>
    <w:rsid w:val="00E1323A"/>
    <w:rsid w:val="00E23BC1"/>
    <w:rsid w:val="00E249F6"/>
    <w:rsid w:val="00E27D74"/>
    <w:rsid w:val="00E369A1"/>
    <w:rsid w:val="00E44DDF"/>
    <w:rsid w:val="00E45095"/>
    <w:rsid w:val="00E54642"/>
    <w:rsid w:val="00E65200"/>
    <w:rsid w:val="00E67F15"/>
    <w:rsid w:val="00E70A94"/>
    <w:rsid w:val="00E810DE"/>
    <w:rsid w:val="00E865BB"/>
    <w:rsid w:val="00E97908"/>
    <w:rsid w:val="00EA4091"/>
    <w:rsid w:val="00EB468A"/>
    <w:rsid w:val="00EB6E11"/>
    <w:rsid w:val="00EC013A"/>
    <w:rsid w:val="00EC5F49"/>
    <w:rsid w:val="00ED0789"/>
    <w:rsid w:val="00ED5E1F"/>
    <w:rsid w:val="00EE0846"/>
    <w:rsid w:val="00EE76D7"/>
    <w:rsid w:val="00EE7F41"/>
    <w:rsid w:val="00EF0AFB"/>
    <w:rsid w:val="00EF26B1"/>
    <w:rsid w:val="00EF3ED0"/>
    <w:rsid w:val="00F10447"/>
    <w:rsid w:val="00F17E56"/>
    <w:rsid w:val="00F20A29"/>
    <w:rsid w:val="00F213C7"/>
    <w:rsid w:val="00F213DF"/>
    <w:rsid w:val="00F411A4"/>
    <w:rsid w:val="00F50D03"/>
    <w:rsid w:val="00F5141E"/>
    <w:rsid w:val="00F57481"/>
    <w:rsid w:val="00F74B10"/>
    <w:rsid w:val="00F812D5"/>
    <w:rsid w:val="00F87217"/>
    <w:rsid w:val="00F91A4D"/>
    <w:rsid w:val="00F94612"/>
    <w:rsid w:val="00F979B5"/>
    <w:rsid w:val="00FC0033"/>
    <w:rsid w:val="00FC05BA"/>
    <w:rsid w:val="00FE46C7"/>
    <w:rsid w:val="00FF517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6980"/>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957C90"/>
    <w:rPr>
      <w:color w:val="808080"/>
    </w:rPr>
  </w:style>
  <w:style w:type="character" w:customStyle="1" w:styleId="TimesNewRomanTimesNewRoman">
    <w:name w:val="סגנון (לטיני) Times New Roman (עברית ושפות אחרות) Times New Roman..."/>
    <w:basedOn w:val="a0"/>
    <w:rPr>
      <w:rFonts w:ascii="Times New Roman" w:hAnsi="Times New Roman" w:cs="David" w:hint="default"/>
      <w:b/>
      <w:bCs/>
      <w:sz w:val="26"/>
      <w:szCs w:val="26"/>
    </w:rPr>
  </w:style>
  <w:style w:type="character" w:customStyle="1" w:styleId="ae">
    <w:name w:val="כותרת טקסט תו"/>
    <w:link w:val="af"/>
    <w:locked/>
    <w:rsid w:val="00935E5A"/>
    <w:rPr>
      <w:b/>
      <w:bCs/>
      <w:szCs w:val="28"/>
      <w:u w:val="single"/>
      <w:shd w:val="pct20" w:color="auto" w:fill="FFFFFF"/>
      <w:lang w:val="x-none" w:eastAsia="he-IL"/>
    </w:rPr>
  </w:style>
  <w:style w:type="paragraph" w:customStyle="1" w:styleId="af">
    <w:name w:val="תואר"/>
    <w:basedOn w:val="a"/>
    <w:link w:val="ae"/>
    <w:qFormat/>
    <w:rsid w:val="00935E5A"/>
    <w:pPr>
      <w:shd w:val="pct20" w:color="auto" w:fill="FFFFFF"/>
      <w:spacing w:line="480" w:lineRule="auto"/>
      <w:ind w:left="1701" w:hanging="1701"/>
      <w:jc w:val="center"/>
    </w:pPr>
    <w:rPr>
      <w:rFonts w:cs="Times New Roman"/>
      <w:b/>
      <w:bCs/>
      <w:noProof w:val="0"/>
      <w:sz w:val="20"/>
      <w:szCs w:val="28"/>
      <w:u w:val="single"/>
      <w:lang w:val="x-none" w:eastAsia="he-IL"/>
    </w:rPr>
  </w:style>
  <w:style w:type="paragraph" w:styleId="af0">
    <w:name w:val="List Paragraph"/>
    <w:basedOn w:val="a"/>
    <w:uiPriority w:val="34"/>
    <w:qFormat/>
    <w:rsid w:val="00581658"/>
    <w:pPr>
      <w:ind w:left="720"/>
      <w:contextualSpacing/>
    </w:pPr>
  </w:style>
  <w:style w:type="character" w:customStyle="1" w:styleId="a4">
    <w:name w:val="כותרת עליונה תו"/>
    <w:basedOn w:val="a0"/>
    <w:link w:val="a3"/>
    <w:rsid w:val="00765BA7"/>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6764">
      <w:bodyDiv w:val="1"/>
      <w:marLeft w:val="0"/>
      <w:marRight w:val="0"/>
      <w:marTop w:val="0"/>
      <w:marBottom w:val="0"/>
      <w:divBdr>
        <w:top w:val="none" w:sz="0" w:space="0" w:color="auto"/>
        <w:left w:val="none" w:sz="0" w:space="0" w:color="auto"/>
        <w:bottom w:val="none" w:sz="0" w:space="0" w:color="auto"/>
        <w:right w:val="none" w:sz="0" w:space="0" w:color="auto"/>
      </w:divBdr>
    </w:div>
    <w:div w:id="51663543">
      <w:bodyDiv w:val="1"/>
      <w:marLeft w:val="0"/>
      <w:marRight w:val="0"/>
      <w:marTop w:val="0"/>
      <w:marBottom w:val="0"/>
      <w:divBdr>
        <w:top w:val="none" w:sz="0" w:space="0" w:color="auto"/>
        <w:left w:val="none" w:sz="0" w:space="0" w:color="auto"/>
        <w:bottom w:val="none" w:sz="0" w:space="0" w:color="auto"/>
        <w:right w:val="none" w:sz="0" w:space="0" w:color="auto"/>
      </w:divBdr>
    </w:div>
    <w:div w:id="320084682">
      <w:bodyDiv w:val="1"/>
      <w:marLeft w:val="0"/>
      <w:marRight w:val="0"/>
      <w:marTop w:val="0"/>
      <w:marBottom w:val="0"/>
      <w:divBdr>
        <w:top w:val="none" w:sz="0" w:space="0" w:color="auto"/>
        <w:left w:val="none" w:sz="0" w:space="0" w:color="auto"/>
        <w:bottom w:val="none" w:sz="0" w:space="0" w:color="auto"/>
        <w:right w:val="none" w:sz="0" w:space="0" w:color="auto"/>
      </w:divBdr>
    </w:div>
    <w:div w:id="505098384">
      <w:bodyDiv w:val="1"/>
      <w:marLeft w:val="0"/>
      <w:marRight w:val="0"/>
      <w:marTop w:val="0"/>
      <w:marBottom w:val="0"/>
      <w:divBdr>
        <w:top w:val="none" w:sz="0" w:space="0" w:color="auto"/>
        <w:left w:val="none" w:sz="0" w:space="0" w:color="auto"/>
        <w:bottom w:val="none" w:sz="0" w:space="0" w:color="auto"/>
        <w:right w:val="none" w:sz="0" w:space="0" w:color="auto"/>
      </w:divBdr>
    </w:div>
    <w:div w:id="593973652">
      <w:bodyDiv w:val="1"/>
      <w:marLeft w:val="0"/>
      <w:marRight w:val="0"/>
      <w:marTop w:val="0"/>
      <w:marBottom w:val="0"/>
      <w:divBdr>
        <w:top w:val="none" w:sz="0" w:space="0" w:color="auto"/>
        <w:left w:val="none" w:sz="0" w:space="0" w:color="auto"/>
        <w:bottom w:val="none" w:sz="0" w:space="0" w:color="auto"/>
        <w:right w:val="none" w:sz="0" w:space="0" w:color="auto"/>
      </w:divBdr>
    </w:div>
    <w:div w:id="715206443">
      <w:bodyDiv w:val="1"/>
      <w:marLeft w:val="0"/>
      <w:marRight w:val="0"/>
      <w:marTop w:val="0"/>
      <w:marBottom w:val="0"/>
      <w:divBdr>
        <w:top w:val="none" w:sz="0" w:space="0" w:color="auto"/>
        <w:left w:val="none" w:sz="0" w:space="0" w:color="auto"/>
        <w:bottom w:val="none" w:sz="0" w:space="0" w:color="auto"/>
        <w:right w:val="none" w:sz="0" w:space="0" w:color="auto"/>
      </w:divBdr>
    </w:div>
    <w:div w:id="746459484">
      <w:bodyDiv w:val="1"/>
      <w:marLeft w:val="0"/>
      <w:marRight w:val="0"/>
      <w:marTop w:val="0"/>
      <w:marBottom w:val="0"/>
      <w:divBdr>
        <w:top w:val="none" w:sz="0" w:space="0" w:color="auto"/>
        <w:left w:val="none" w:sz="0" w:space="0" w:color="auto"/>
        <w:bottom w:val="none" w:sz="0" w:space="0" w:color="auto"/>
        <w:right w:val="none" w:sz="0" w:space="0" w:color="auto"/>
      </w:divBdr>
    </w:div>
    <w:div w:id="747536058">
      <w:bodyDiv w:val="1"/>
      <w:marLeft w:val="0"/>
      <w:marRight w:val="0"/>
      <w:marTop w:val="0"/>
      <w:marBottom w:val="0"/>
      <w:divBdr>
        <w:top w:val="none" w:sz="0" w:space="0" w:color="auto"/>
        <w:left w:val="none" w:sz="0" w:space="0" w:color="auto"/>
        <w:bottom w:val="none" w:sz="0" w:space="0" w:color="auto"/>
        <w:right w:val="none" w:sz="0" w:space="0" w:color="auto"/>
      </w:divBdr>
    </w:div>
    <w:div w:id="758064365">
      <w:bodyDiv w:val="1"/>
      <w:marLeft w:val="0"/>
      <w:marRight w:val="0"/>
      <w:marTop w:val="0"/>
      <w:marBottom w:val="0"/>
      <w:divBdr>
        <w:top w:val="none" w:sz="0" w:space="0" w:color="auto"/>
        <w:left w:val="none" w:sz="0" w:space="0" w:color="auto"/>
        <w:bottom w:val="none" w:sz="0" w:space="0" w:color="auto"/>
        <w:right w:val="none" w:sz="0" w:space="0" w:color="auto"/>
      </w:divBdr>
    </w:div>
    <w:div w:id="1057053677">
      <w:bodyDiv w:val="1"/>
      <w:marLeft w:val="0"/>
      <w:marRight w:val="0"/>
      <w:marTop w:val="0"/>
      <w:marBottom w:val="0"/>
      <w:divBdr>
        <w:top w:val="none" w:sz="0" w:space="0" w:color="auto"/>
        <w:left w:val="none" w:sz="0" w:space="0" w:color="auto"/>
        <w:bottom w:val="none" w:sz="0" w:space="0" w:color="auto"/>
        <w:right w:val="none" w:sz="0" w:space="0" w:color="auto"/>
      </w:divBdr>
    </w:div>
    <w:div w:id="113410384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581973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84812067">
      <w:bodyDiv w:val="1"/>
      <w:marLeft w:val="0"/>
      <w:marRight w:val="0"/>
      <w:marTop w:val="0"/>
      <w:marBottom w:val="0"/>
      <w:divBdr>
        <w:top w:val="none" w:sz="0" w:space="0" w:color="auto"/>
        <w:left w:val="none" w:sz="0" w:space="0" w:color="auto"/>
        <w:bottom w:val="none" w:sz="0" w:space="0" w:color="auto"/>
        <w:right w:val="none" w:sz="0" w:space="0" w:color="auto"/>
      </w:divBdr>
    </w:div>
    <w:div w:id="1520317589">
      <w:bodyDiv w:val="1"/>
      <w:marLeft w:val="0"/>
      <w:marRight w:val="0"/>
      <w:marTop w:val="0"/>
      <w:marBottom w:val="0"/>
      <w:divBdr>
        <w:top w:val="none" w:sz="0" w:space="0" w:color="auto"/>
        <w:left w:val="none" w:sz="0" w:space="0" w:color="auto"/>
        <w:bottom w:val="none" w:sz="0" w:space="0" w:color="auto"/>
        <w:right w:val="none" w:sz="0" w:space="0" w:color="auto"/>
      </w:divBdr>
    </w:div>
    <w:div w:id="157694098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14059954">
      <w:bodyDiv w:val="1"/>
      <w:marLeft w:val="0"/>
      <w:marRight w:val="0"/>
      <w:marTop w:val="0"/>
      <w:marBottom w:val="0"/>
      <w:divBdr>
        <w:top w:val="none" w:sz="0" w:space="0" w:color="auto"/>
        <w:left w:val="none" w:sz="0" w:space="0" w:color="auto"/>
        <w:bottom w:val="none" w:sz="0" w:space="0" w:color="auto"/>
        <w:right w:val="none" w:sz="0" w:space="0" w:color="auto"/>
      </w:divBdr>
    </w:div>
    <w:div w:id="1826967090">
      <w:bodyDiv w:val="1"/>
      <w:marLeft w:val="0"/>
      <w:marRight w:val="0"/>
      <w:marTop w:val="0"/>
      <w:marBottom w:val="0"/>
      <w:divBdr>
        <w:top w:val="none" w:sz="0" w:space="0" w:color="auto"/>
        <w:left w:val="none" w:sz="0" w:space="0" w:color="auto"/>
        <w:bottom w:val="none" w:sz="0" w:space="0" w:color="auto"/>
        <w:right w:val="none" w:sz="0" w:space="0" w:color="auto"/>
      </w:divBdr>
    </w:div>
    <w:div w:id="2017609469">
      <w:bodyDiv w:val="1"/>
      <w:marLeft w:val="0"/>
      <w:marRight w:val="0"/>
      <w:marTop w:val="0"/>
      <w:marBottom w:val="0"/>
      <w:divBdr>
        <w:top w:val="none" w:sz="0" w:space="0" w:color="auto"/>
        <w:left w:val="none" w:sz="0" w:space="0" w:color="auto"/>
        <w:bottom w:val="none" w:sz="0" w:space="0" w:color="auto"/>
        <w:right w:val="none" w:sz="0" w:space="0" w:color="auto"/>
      </w:divBdr>
    </w:div>
    <w:div w:id="213224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AFB149550324507A608B602EB699B1A"/>
        <w:category>
          <w:name w:val="כללי"/>
          <w:gallery w:val="placeholder"/>
        </w:category>
        <w:types>
          <w:type w:val="bbPlcHdr"/>
        </w:types>
        <w:behaviors>
          <w:behavior w:val="content"/>
        </w:behaviors>
        <w:guid w:val="{8F8C0FD6-9385-4E27-A646-54A21C986FE7}"/>
      </w:docPartPr>
      <w:docPartBody>
        <w:p w:rsidR="00325BB6" w:rsidRDefault="00A85495" w:rsidP="00A85495">
          <w:pPr>
            <w:pStyle w:val="2AFB149550324507A608B602EB699B1A"/>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25BB6"/>
    <w:rsid w:val="006D5684"/>
    <w:rsid w:val="00A85495"/>
    <w:rsid w:val="00B40AEB"/>
    <w:rsid w:val="00B65812"/>
    <w:rsid w:val="00C71F66"/>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503D47F0E304D32BB86D3413C9F1AFA">
    <w:name w:val="5503D47F0E304D32BB86D3413C9F1AFA"/>
    <w:pPr>
      <w:bidi/>
    </w:pPr>
  </w:style>
  <w:style w:type="paragraph" w:customStyle="1" w:styleId="9737615A47FA4DF5A3F2D8AC5B6B74DE">
    <w:name w:val="9737615A47FA4DF5A3F2D8AC5B6B74DE"/>
    <w:pPr>
      <w:bidi/>
    </w:pPr>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E2A0A832F8DB4FA1A93AF4FA71768AAD">
    <w:name w:val="E2A0A832F8DB4FA1A93AF4FA71768AAD"/>
    <w:rsid w:val="006D5684"/>
    <w:pPr>
      <w:bidi/>
    </w:pPr>
  </w:style>
  <w:style w:type="paragraph" w:customStyle="1" w:styleId="2AFB149550324507A608B602EB699B1A">
    <w:name w:val="2AFB149550324507A608B602EB699B1A"/>
    <w:rsid w:val="00A85495"/>
    <w:pPr>
      <w:bidi/>
    </w:pPr>
  </w:style>
  <w:style w:type="paragraph" w:customStyle="1" w:styleId="891ECCD8E2C649B199628D71A6E29077">
    <w:name w:val="891ECCD8E2C649B199628D71A6E29077"/>
    <w:rsid w:val="00A85495"/>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6018</Words>
  <Characters>30095</Characters>
  <Application>Microsoft Office Word</Application>
  <DocSecurity>12</DocSecurity>
  <Lines>250</Lines>
  <Paragraphs>72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cp:lastPrinted>2023-01-04T12:31:00Z</cp:lastPrinted>
  <dcterms:created xsi:type="dcterms:W3CDTF">2023-07-18T13:14:00Z</dcterms:created>
  <dcterms:modified xsi:type="dcterms:W3CDTF">2023-07-18T13:14:00Z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y fmtid="{D5CDD505-2E9C-101B-9397-08002B2CF9AE}" pid="4" name="GrammarlyDocumentId">
    <vt:lpwstr>3dad4f24794f1c804a005e02554c75059a082e86ca138b0decb0d5e9024ce4bb</vt:lpwstr>
  </property>
</Properties>
</file>